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</w:rPr>
        <w:t>8</w:t>
      </w:r>
    </w:p>
    <w:p>
      <w:pPr>
        <w:spacing w:line="580" w:lineRule="exact"/>
        <w:rPr>
          <w:rFonts w:eastAsia="黑体"/>
          <w:sz w:val="24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乌兰察布市城镇土地使用税税额标准调整方案</w:t>
      </w:r>
    </w:p>
    <w:bookmarkEnd w:id="0"/>
    <w:p>
      <w:pPr>
        <w:spacing w:line="58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一、市政府所在地应税土地单位税额标准</w:t>
      </w:r>
    </w:p>
    <w:p>
      <w:pPr>
        <w:spacing w:line="56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（注：含非民政部门在册的区划）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（一）集宁区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一等地：7.2元/平方米；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二等地：6.4元/平方米。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（二）察哈尔经济技术开发区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察哈尔经济技术开发区：4元/平方米。</w:t>
      </w:r>
    </w:p>
    <w:p>
      <w:pPr>
        <w:spacing w:line="560" w:lineRule="exact"/>
        <w:ind w:firstLine="640" w:firstLineChars="200"/>
        <w:rPr>
          <w:rFonts w:ascii="方正黑体简体" w:hAnsi="黑体" w:eastAsia="方正黑体简体"/>
          <w:sz w:val="32"/>
          <w:szCs w:val="32"/>
        </w:rPr>
      </w:pPr>
      <w:r>
        <w:rPr>
          <w:rFonts w:ascii="方正黑体简体" w:hAnsi="黑体" w:eastAsia="方正黑体简体"/>
          <w:sz w:val="32"/>
          <w:szCs w:val="32"/>
        </w:rPr>
        <w:t>二、市所属旗县（县级市）应税土地单位税额标准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（一）丰镇市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二等地：6.4元/平方米；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（二）察哈尔右翼前旗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（三）察哈尔右翼中旗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五等地：3.2元/平方米。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（四）察哈尔右翼后旗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锡勒风电工矿区：4元/平方米；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乌兰哈达建材工矿区：4元/平方米；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当郎忽洞建材工矿区：4元/平方米。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（五）四子王旗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五等地：3.2元/平方米。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（六）卓资县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（七）凉城县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（八）兴和县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（九）商都县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五等地：3.2元/平方米。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（十）化德县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四等地：4元/平方米；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五等地：3.2元/平方米；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化德工矿区：3.2元/平方米。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F29BB"/>
    <w:rsid w:val="1EE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2019-03-26T09:04:00Z</dcterms:created>
  <dc:creator>bgt</dc:creator>
  <cp:lastModifiedBy>bgt</cp:lastModifiedBy>
  <dcterms:modified xsi:type="dcterms:W3CDTF">2019-03-26T09:04:10Z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