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adjustRightInd w:val="0"/>
        <w:snapToGrid w:val="0"/>
        <w:spacing w:line="580" w:lineRule="exact"/>
        <w:textAlignment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overflowPunct w:val="0"/>
        <w:topLinePunct/>
        <w:adjustRightInd w:val="0"/>
        <w:snapToGrid w:val="0"/>
        <w:spacing w:line="580" w:lineRule="exact"/>
        <w:textAlignment w:val="center"/>
        <w:rPr>
          <w:rFonts w:hint="eastAsia" w:ascii="仿宋_GB2312" w:eastAsia="仿宋_GB2312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580" w:lineRule="exact"/>
        <w:jc w:val="center"/>
        <w:textAlignment w:val="center"/>
        <w:rPr>
          <w:rFonts w:hint="eastAsia" w:ascii="方正小标宋简体" w:eastAsia="方正小标宋简体"/>
          <w:spacing w:val="60"/>
          <w:sz w:val="44"/>
          <w:szCs w:val="44"/>
        </w:rPr>
      </w:pPr>
      <w:r>
        <w:rPr>
          <w:rFonts w:hint="eastAsia" w:ascii="方正小标宋简体" w:eastAsia="方正小标宋简体"/>
          <w:spacing w:val="60"/>
          <w:sz w:val="44"/>
          <w:szCs w:val="44"/>
        </w:rPr>
        <w:t>城市分批次用地</w:t>
      </w:r>
    </w:p>
    <w:p>
      <w:pPr>
        <w:overflowPunct w:val="0"/>
        <w:topLinePunct/>
        <w:adjustRightInd w:val="0"/>
        <w:snapToGrid w:val="0"/>
        <w:spacing w:line="580" w:lineRule="exact"/>
        <w:jc w:val="center"/>
        <w:textAlignment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盟行政公署/市人民政府请示文本格式</w:t>
      </w:r>
    </w:p>
    <w:p>
      <w:pPr>
        <w:overflowPunct w:val="0"/>
        <w:topLinePunct/>
        <w:adjustRightInd w:val="0"/>
        <w:snapToGrid w:val="0"/>
        <w:spacing w:line="580" w:lineRule="exact"/>
        <w:textAlignment w:val="center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580" w:lineRule="exact"/>
        <w:jc w:val="center"/>
        <w:textAlignment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××</w:t>
      </w:r>
      <w:r>
        <w:rPr>
          <w:rFonts w:hint="eastAsia" w:ascii="方正小标宋简体" w:eastAsia="方正小标宋简体"/>
          <w:sz w:val="44"/>
          <w:szCs w:val="44"/>
        </w:rPr>
        <w:t>盟行政公署/市人民政府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文件</w:t>
      </w:r>
    </w:p>
    <w:p>
      <w:pPr>
        <w:overflowPunct w:val="0"/>
        <w:topLinePunct/>
        <w:adjustRightInd w:val="0"/>
        <w:snapToGrid w:val="0"/>
        <w:spacing w:line="580" w:lineRule="exact"/>
        <w:textAlignment w:val="center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580" w:lineRule="exact"/>
        <w:ind w:left="210" w:leftChars="100" w:right="210" w:rightChars="100"/>
        <w:textAlignment w:val="center"/>
        <w:rPr>
          <w:rFonts w:hint="eastAsia" w:ascii="仿宋_GB2312" w:eastAsia="仿宋_GB2312"/>
          <w:color w:val="000000"/>
          <w:sz w:val="32"/>
          <w:szCs w:val="32"/>
        </w:rPr>
      </w:pPr>
      <w:bookmarkStart w:id="0" w:name="_GoBack"/>
      <w:r>
        <w:rPr>
          <w:rFonts w:hint="eastAsia" w:ascii="仿宋_GB2312"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359410</wp:posOffset>
                </wp:positionV>
                <wp:extent cx="5661660" cy="15875"/>
                <wp:effectExtent l="0" t="4445" r="15240" b="825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1660" cy="158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0.8pt;margin-top:28.3pt;height:1.25pt;width:445.8pt;z-index:251660288;mso-width-relative:page;mso-height-relative:page;" o:connectortype="straight" filled="f" coordsize="21600,21600" o:gfxdata="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M78btUA&#10;AAAHAQAADwAAAAAAAAABACAAAAAiAAAAZHJzL2Rvd25yZXYueG1sUEsBAhQAFAAAAAgAh07iQKiF&#10;JxnpAQAArAMAAA4AAAAAAAAAAQAgAAAAJAEAAGRycy9lMm9Eb2MueG1sUEsFBgAAAAAGAAYAWQEA&#10;AH8FAAAAAA=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bookmarkEnd w:id="0"/>
      <w:r>
        <w:rPr>
          <w:rFonts w:hint="eastAsia" w:ascii="仿宋_GB2312" w:eastAsia="仿宋_GB2312"/>
          <w:color w:val="000000"/>
          <w:sz w:val="32"/>
          <w:szCs w:val="32"/>
        </w:rPr>
        <w:t>（文号）                                   签发人：××</w:t>
      </w:r>
    </w:p>
    <w:p>
      <w:pPr>
        <w:overflowPunct w:val="0"/>
        <w:topLinePunct/>
        <w:adjustRightInd w:val="0"/>
        <w:snapToGrid w:val="0"/>
        <w:spacing w:line="580" w:lineRule="exact"/>
        <w:textAlignment w:val="center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580" w:lineRule="exact"/>
        <w:textAlignment w:val="center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580" w:lineRule="exact"/>
        <w:jc w:val="center"/>
        <w:textAlignment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××</w:t>
      </w:r>
      <w:r>
        <w:rPr>
          <w:rFonts w:hint="eastAsia" w:ascii="方正小标宋简体" w:eastAsia="方正小标宋简体"/>
          <w:sz w:val="44"/>
          <w:szCs w:val="44"/>
        </w:rPr>
        <w:t>盟行政公署/市人民政府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关于××旗县</w:t>
      </w:r>
    </w:p>
    <w:p>
      <w:pPr>
        <w:overflowPunct w:val="0"/>
        <w:topLinePunct/>
        <w:adjustRightInd w:val="0"/>
        <w:snapToGrid w:val="0"/>
        <w:spacing w:line="580" w:lineRule="exact"/>
        <w:jc w:val="center"/>
        <w:textAlignment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（市、区）××年度第××批次建设用地的请示</w:t>
      </w:r>
    </w:p>
    <w:p>
      <w:pPr>
        <w:overflowPunct w:val="0"/>
        <w:topLinePunct/>
        <w:adjustRightInd w:val="0"/>
        <w:snapToGrid w:val="0"/>
        <w:spacing w:line="580" w:lineRule="exact"/>
        <w:textAlignment w:val="center"/>
        <w:rPr>
          <w:rFonts w:hint="eastAsia" w:ascii="仿宋_GB2312" w:eastAsia="仿宋_GB2312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540" w:lineRule="exact"/>
        <w:textAlignment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自治区人民政府：</w:t>
      </w:r>
    </w:p>
    <w:p>
      <w:pPr>
        <w:overflowPunct w:val="0"/>
        <w:topLinePunct/>
        <w:adjustRightInd w:val="0"/>
        <w:snapToGrid w:val="0"/>
        <w:spacing w:line="540" w:lineRule="exact"/>
        <w:ind w:firstLine="664" w:firstLineChars="200"/>
        <w:textAlignment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pacing w:val="6"/>
          <w:sz w:val="32"/>
          <w:szCs w:val="32"/>
        </w:rPr>
        <w:t>为实施国土空间总体规划，</w:t>
      </w:r>
      <w:r>
        <w:rPr>
          <w:rFonts w:hint="eastAsia" w:ascii="仿宋_GB2312" w:eastAsia="仿宋_GB2312" w:cs="宋体"/>
          <w:color w:val="000000"/>
          <w:spacing w:val="6"/>
          <w:sz w:val="32"/>
          <w:szCs w:val="32"/>
        </w:rPr>
        <w:t>××旗县（市、区）××年度</w:t>
      </w:r>
      <w:r>
        <w:rPr>
          <w:rFonts w:hint="eastAsia" w:ascii="仿宋_GB2312" w:eastAsia="仿宋_GB2312" w:cs="宋体"/>
          <w:color w:val="000000"/>
          <w:sz w:val="32"/>
          <w:szCs w:val="32"/>
        </w:rPr>
        <w:t>第××批</w:t>
      </w:r>
      <w:r>
        <w:rPr>
          <w:rFonts w:hint="eastAsia" w:ascii="仿宋_GB2312" w:eastAsia="仿宋_GB2312" w:cs="宋体"/>
          <w:color w:val="000000"/>
          <w:spacing w:val="-6"/>
          <w:sz w:val="32"/>
          <w:szCs w:val="32"/>
        </w:rPr>
        <w:t>次建设用地</w:t>
      </w:r>
      <w:r>
        <w:rPr>
          <w:rFonts w:hint="eastAsia" w:ascii="仿宋_GB2312" w:eastAsia="仿宋_GB2312"/>
          <w:color w:val="000000"/>
          <w:spacing w:val="-6"/>
          <w:sz w:val="32"/>
          <w:szCs w:val="32"/>
        </w:rPr>
        <w:t>申请用地总面积××公顷，其中，农用地××</w:t>
      </w:r>
      <w:r>
        <w:rPr>
          <w:rFonts w:hint="eastAsia" w:ascii="仿宋_GB2312" w:eastAsia="仿宋_GB2312"/>
          <w:color w:val="000000"/>
          <w:sz w:val="32"/>
          <w:szCs w:val="32"/>
        </w:rPr>
        <w:t>公顷（耕地××公顷、林地××公顷、牧草地××公顷、其他农用地××公顷）、建设用地××公顷、未利用地××公顷。按权属分，集体土地××公顷，涉及××村（嘎查）、××村（嘎查）等共×个村（嘎查）；国有土地××公顷，涉及××等共×个国有土地使用权单位。</w:t>
      </w:r>
      <w:r>
        <w:rPr>
          <w:rFonts w:hint="eastAsia" w:ascii="仿宋_GB2312" w:eastAsia="仿宋_GB2312"/>
          <w:sz w:val="32"/>
          <w:szCs w:val="32"/>
        </w:rPr>
        <w:t>土地面积准确，地类清楚，权属无争议。</w:t>
      </w:r>
    </w:p>
    <w:p>
      <w:pPr>
        <w:overflowPunct w:val="0"/>
        <w:topLinePunct/>
        <w:adjustRightInd w:val="0"/>
        <w:snapToGrid w:val="0"/>
        <w:spacing w:line="540" w:lineRule="exact"/>
        <w:ind w:firstLine="640" w:firstLineChars="200"/>
        <w:textAlignment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经审查，该批次用地符合《××规划》（规划批复文号），符合城市分批次用地报批条件；拟征收土地属于《中华人民共和国土地管理法》第45条规定的××情形，符合公共利益需要，可以依法征收农民集体所有土地；××旗县人民政府依法发布了土地征收启动公告，完成了土地现状调查、社会稳定风险评估、公告及听证、补偿登记和签订征地补偿安置协议等征地前期工作。社会稳定风险评估认为××（例如社会风险较低，据实说明），</w:t>
      </w:r>
      <w:r>
        <w:rPr>
          <w:rFonts w:hint="eastAsia" w:ascii="仿宋_GB2312" w:eastAsia="仿宋_GB2312"/>
          <w:sz w:val="32"/>
          <w:szCs w:val="32"/>
        </w:rPr>
        <w:t>补偿标准符合</w:t>
      </w:r>
      <w:r>
        <w:rPr>
          <w:rFonts w:hint="eastAsia" w:ascii="仿宋_GB2312" w:eastAsia="仿宋_GB2312"/>
          <w:color w:val="000000"/>
          <w:sz w:val="32"/>
          <w:szCs w:val="32"/>
        </w:rPr>
        <w:t>自治区人民政府××年批准公布的现行征地补偿标准</w:t>
      </w:r>
      <w:r>
        <w:rPr>
          <w:rFonts w:hint="eastAsia" w:ascii="仿宋_GB2312" w:eastAsia="仿宋_GB2312"/>
          <w:sz w:val="32"/>
          <w:szCs w:val="32"/>
        </w:rPr>
        <w:t>规定，</w:t>
      </w:r>
      <w:r>
        <w:rPr>
          <w:rFonts w:hint="eastAsia" w:ascii="仿宋_GB2312" w:eastAsia="仿宋_GB2312"/>
          <w:color w:val="000000"/>
          <w:sz w:val="32"/>
          <w:szCs w:val="32"/>
        </w:rPr>
        <w:t>需安置农牧业人口××人（其中劳动力××人），</w:t>
      </w:r>
      <w:r>
        <w:rPr>
          <w:rFonts w:hint="eastAsia" w:ascii="仿宋_GB2312" w:eastAsia="仿宋_GB2312"/>
          <w:sz w:val="32"/>
          <w:szCs w:val="32"/>
        </w:rPr>
        <w:t>拟采取</w:t>
      </w:r>
      <w:r>
        <w:rPr>
          <w:rFonts w:hint="eastAsia" w:ascii="仿宋_GB2312" w:eastAsia="仿宋_GB2312"/>
          <w:color w:val="000000"/>
          <w:sz w:val="32"/>
          <w:szCs w:val="32"/>
        </w:rPr>
        <w:t>××、××</w:t>
      </w:r>
      <w:r>
        <w:rPr>
          <w:rFonts w:hint="eastAsia" w:ascii="仿宋_GB2312" w:eastAsia="仿宋_GB2312"/>
          <w:color w:val="000000"/>
          <w:spacing w:val="-6"/>
          <w:sz w:val="32"/>
          <w:szCs w:val="32"/>
        </w:rPr>
        <w:t>（如：发放安置补助费/农业安置/社会保障安置/</w:t>
      </w:r>
      <w:r>
        <w:rPr>
          <w:rFonts w:hint="eastAsia" w:ascii="仿宋_GB2312" w:eastAsia="仿宋_GB2312"/>
          <w:color w:val="000000"/>
          <w:sz w:val="32"/>
          <w:szCs w:val="32"/>
        </w:rPr>
        <w:t>留地留物业安置/用地单位安置/征地款入股安置等）方式安置；该批次不涉及社保安置农牧业人口（涉及社保安置农牧业人口的表述为：经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××旗〔县、市、区〕社保部门审核</w:t>
      </w:r>
      <w:r>
        <w:rPr>
          <w:rFonts w:hint="eastAsia" w:ascii="仿宋_GB2312" w:eastAsia="仿宋_GB2312"/>
          <w:color w:val="000000"/>
          <w:sz w:val="32"/>
          <w:szCs w:val="32"/>
        </w:rPr>
        <w:t>该批次涉及社保安置农牧业人口××人，已落实资金××万元，其中××万元已缴入当地社保资金专户），××旗县人民政府承诺在自治区出台被征地农牧民社会保障费用的筹集、管理和使用办法等相关政策后衔接落实相关要求。被征地村组同意征地补偿安置方案并出具了放弃听证的证明；</w:t>
      </w:r>
      <w:r>
        <w:rPr>
          <w:rFonts w:hint="eastAsia" w:ascii="仿宋_GB2312" w:eastAsia="仿宋_GB2312"/>
          <w:sz w:val="32"/>
          <w:szCs w:val="32"/>
        </w:rPr>
        <w:t>供地方式符合国家产业政策及供地政策，用地规模符合有关土地使用标准；</w:t>
      </w:r>
      <w:r>
        <w:rPr>
          <w:rFonts w:hint="eastAsia" w:ascii="仿宋_GB2312" w:eastAsia="仿宋_GB2312"/>
          <w:color w:val="000000"/>
          <w:sz w:val="32"/>
          <w:szCs w:val="32"/>
        </w:rPr>
        <w:t>该批次用地不涉及占用水源地保护区；占用林地、草原已取得××林草局许可（文号）（非林地和草原的表述为：占用的草地、林地已取得××林草局出具的非草原、非林地证明）；该批次不存在违法动工用地（涉及违法动工用地的表述为：该批次已于××年××月违法动工用地，处罚标准为××—××万/平方米，实际按××万/平方米进行处罚，目前已依法查处到位）；该批次用地中无因化解政府债务停建、缓建或缩减建设规模项目、近期防范金融风险而停建项目和造成政府债务风险的项目；该批次用地不涉及信访和行政复议、行政诉讼问题（如涉及要据实说明信访处置以及行政复议、行政诉讼结案情况）。</w:t>
      </w:r>
    </w:p>
    <w:p>
      <w:pPr>
        <w:overflowPunct w:val="0"/>
        <w:topLinePunct/>
        <w:adjustRightInd w:val="0"/>
        <w:snapToGrid w:val="0"/>
        <w:spacing w:line="540" w:lineRule="exact"/>
        <w:ind w:firstLine="640" w:firstLineChars="200"/>
        <w:textAlignment w:val="center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我盟/市对上述情况及所提供的材料的真实性和合法性负责，并承担相应的法律责任。按照《中华人民共和国土地管理法》相关规定，该批次用地应呈报自治区人民政府审批，恳请自治区人民政府批准</w:t>
      </w:r>
      <w:r>
        <w:rPr>
          <w:rFonts w:hint="eastAsia" w:ascii="仿宋_GB2312" w:eastAsia="仿宋_GB2312" w:cs="宋体"/>
          <w:color w:val="000000"/>
          <w:sz w:val="32"/>
          <w:szCs w:val="32"/>
        </w:rPr>
        <w:t>××旗县（市、区）××年度第××批次建设用地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overflowPunct w:val="0"/>
        <w:topLinePunct/>
        <w:adjustRightInd w:val="0"/>
        <w:snapToGrid w:val="0"/>
        <w:spacing w:line="540" w:lineRule="exact"/>
        <w:ind w:firstLine="640" w:firstLineChars="200"/>
        <w:textAlignment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专此请示，请予批准。</w:t>
      </w:r>
    </w:p>
    <w:p>
      <w:pPr>
        <w:overflowPunct w:val="0"/>
        <w:topLinePunct/>
        <w:adjustRightInd w:val="0"/>
        <w:snapToGrid w:val="0"/>
        <w:spacing w:line="540" w:lineRule="exact"/>
        <w:ind w:firstLine="640" w:firstLineChars="200"/>
        <w:textAlignment w:val="center"/>
        <w:rPr>
          <w:rFonts w:hint="eastAsia" w:ascii="仿宋_GB2312" w:eastAsia="仿宋_GB2312"/>
          <w:sz w:val="32"/>
          <w:szCs w:val="32"/>
        </w:rPr>
      </w:pPr>
    </w:p>
    <w:p>
      <w:pPr>
        <w:topLinePunct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 w:cs="宋体"/>
          <w:color w:val="000000"/>
          <w:sz w:val="32"/>
          <w:szCs w:val="32"/>
        </w:rPr>
        <w:t>××旗县（市、区）××年度第××批次建设用地</w:t>
      </w:r>
      <w:r>
        <w:rPr>
          <w:rFonts w:hint="eastAsia" w:ascii="仿宋_GB2312" w:eastAsia="仿宋_GB2312"/>
          <w:sz w:val="32"/>
          <w:szCs w:val="32"/>
        </w:rPr>
        <w:t>报</w:t>
      </w:r>
    </w:p>
    <w:p>
      <w:pPr>
        <w:topLinePunct/>
        <w:spacing w:line="540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件材料</w:t>
      </w:r>
    </w:p>
    <w:p>
      <w:pPr>
        <w:topLinePunct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topLinePunct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topLinePunct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topLinePunct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topLinePunct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  （公  章）     </w:t>
      </w:r>
    </w:p>
    <w:p>
      <w:pPr>
        <w:tabs>
          <w:tab w:val="left" w:pos="7655"/>
          <w:tab w:val="left" w:pos="7938"/>
        </w:tabs>
        <w:topLinePunct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</w:t>
      </w:r>
      <w:r>
        <w:rPr>
          <w:rFonts w:hint="eastAsia" w:ascii="仿宋_GB2312" w:eastAsia="仿宋_GB2312" w:cs="宋体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 w:cs="宋体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 w:cs="宋体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>
      <w:pPr>
        <w:topLinePunct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（联系人：</w:t>
      </w:r>
      <w:r>
        <w:rPr>
          <w:rFonts w:hint="eastAsia" w:ascii="仿宋_GB2312" w:eastAsia="仿宋_GB2312" w:cs="宋体"/>
          <w:color w:val="000000"/>
          <w:sz w:val="32"/>
          <w:szCs w:val="32"/>
        </w:rPr>
        <w:t xml:space="preserve">××  </w:t>
      </w:r>
      <w:r>
        <w:rPr>
          <w:rFonts w:hint="eastAsia" w:ascii="仿宋_GB2312" w:eastAsia="仿宋_GB2312"/>
          <w:color w:val="000000"/>
          <w:sz w:val="32"/>
          <w:szCs w:val="32"/>
        </w:rPr>
        <w:t>联系电话：</w:t>
      </w:r>
      <w:r>
        <w:rPr>
          <w:rFonts w:hint="eastAsia" w:ascii="仿宋_GB2312" w:eastAsia="仿宋_GB2312" w:cs="宋体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）</w:t>
      </w:r>
    </w:p>
    <w:p>
      <w:pPr>
        <w:topLinePunct/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topLinePunct/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topLinePunct/>
        <w:spacing w:line="580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其他事宜：</w:t>
      </w:r>
    </w:p>
    <w:p>
      <w:pPr>
        <w:topLinePunct/>
        <w:spacing w:line="580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1.“扩权强县”试点旗县参照执行。</w:t>
      </w:r>
    </w:p>
    <w:p>
      <w:pPr>
        <w:topLinePunct/>
        <w:spacing w:line="580" w:lineRule="exact"/>
        <w:ind w:firstLine="480" w:firstLineChars="15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2.呼、包两市中心城市用地在本模板基础上增加相关内容。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21DF2"/>
    <w:rsid w:val="5B32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2020-06-22T07:59:00Z</dcterms:created>
  <dc:creator>bgt</dc:creator>
  <cp:lastModifiedBy>bgt</cp:lastModifiedBy>
  <dcterms:modified xsi:type="dcterms:W3CDTF">2020-06-22T08:00:01Z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