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580" w:lineRule="exact"/>
        <w:rPr>
          <w:rFonts w:hint="eastAsia"/>
        </w:rPr>
      </w:pPr>
    </w:p>
    <w:p>
      <w:pPr>
        <w:keepNext w:val="0"/>
        <w:keepLines w:val="0"/>
        <w:pageBreakBefore w:val="0"/>
        <w:kinsoku/>
        <w:wordWrap/>
        <w:topLinePunct w:val="0"/>
        <w:autoSpaceDE/>
        <w:autoSpaceDN/>
        <w:bidi w:val="0"/>
        <w:spacing w:line="580" w:lineRule="exact"/>
        <w:ind w:left="0" w:leftChars="0"/>
        <w:jc w:val="center"/>
        <w:textAlignment w:val="auto"/>
        <w:rPr>
          <w:rFonts w:hint="eastAsia" w:ascii="方正小标宋简体" w:eastAsia="方正小标宋简体"/>
          <w:sz w:val="44"/>
          <w:szCs w:val="44"/>
          <w:lang w:eastAsia="zh-CN"/>
        </w:rPr>
      </w:pPr>
      <w:bookmarkStart w:id="2" w:name="_GoBack"/>
      <w:bookmarkStart w:id="0" w:name="标题"/>
      <w:bookmarkEnd w:id="0"/>
      <w:r>
        <w:rPr>
          <w:rFonts w:hint="eastAsia" w:ascii="方正小标宋简体" w:eastAsia="方正小标宋简体"/>
          <w:spacing w:val="-11"/>
          <w:sz w:val="44"/>
          <w:szCs w:val="44"/>
          <w:lang w:eastAsia="zh-CN"/>
        </w:rPr>
        <w:t>内蒙古自治区人民政府关于加快建立健全</w:t>
      </w:r>
    </w:p>
    <w:p>
      <w:pPr>
        <w:keepNext w:val="0"/>
        <w:keepLines w:val="0"/>
        <w:pageBreakBefore w:val="0"/>
        <w:kinsoku/>
        <w:wordWrap/>
        <w:topLinePunct w:val="0"/>
        <w:autoSpaceDE/>
        <w:autoSpaceDN/>
        <w:bidi w:val="0"/>
        <w:spacing w:line="580" w:lineRule="exact"/>
        <w:ind w:left="0" w:leftChars="0"/>
        <w:jc w:val="center"/>
        <w:textAlignment w:val="auto"/>
        <w:rPr>
          <w:rFonts w:hint="eastAsia" w:ascii="方正小标宋简体" w:eastAsia="方正小标宋简体"/>
          <w:sz w:val="44"/>
          <w:szCs w:val="44"/>
          <w:lang w:eastAsia="zh-CN"/>
        </w:rPr>
      </w:pPr>
      <w:r>
        <w:rPr>
          <w:rFonts w:hint="eastAsia" w:ascii="方正小标宋简体" w:eastAsia="方正小标宋简体"/>
          <w:sz w:val="44"/>
          <w:szCs w:val="44"/>
          <w:lang w:eastAsia="zh-CN"/>
        </w:rPr>
        <w:t>绿色低碳循环发展经济体系具体措施的通知</w:t>
      </w:r>
      <w:bookmarkEnd w:id="2"/>
    </w:p>
    <w:p>
      <w:pPr>
        <w:pStyle w:val="2"/>
        <w:rPr>
          <w:rFonts w:hint="eastAsia"/>
          <w:b w:val="0"/>
          <w:bCs w:val="0"/>
          <w:lang w:eastAsia="zh-CN"/>
        </w:rPr>
      </w:pPr>
      <w:r>
        <w:rPr>
          <w:rFonts w:hint="eastAsia" w:ascii="仿宋_GB2312" w:hAnsi="华文仿宋" w:eastAsia="仿宋_GB2312"/>
          <w:b w:val="0"/>
          <w:bCs w:val="0"/>
          <w:sz w:val="32"/>
          <w:lang w:eastAsia="zh-CN"/>
        </w:rPr>
        <w:t>内政发〔2021〕9号</w:t>
      </w:r>
    </w:p>
    <w:p>
      <w:pPr>
        <w:keepNext w:val="0"/>
        <w:keepLines w:val="0"/>
        <w:pageBreakBefore w:val="0"/>
        <w:kinsoku/>
        <w:wordWrap/>
        <w:topLinePunct w:val="0"/>
        <w:autoSpaceDE/>
        <w:autoSpaceDN/>
        <w:bidi w:val="0"/>
        <w:spacing w:line="580" w:lineRule="exact"/>
        <w:ind w:left="0" w:leftChars="0"/>
        <w:jc w:val="center"/>
        <w:textAlignment w:val="auto"/>
        <w:rPr>
          <w:rFonts w:hint="eastAsia"/>
          <w:sz w:val="30"/>
        </w:rPr>
      </w:pP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jc w:val="both"/>
        <w:textAlignment w:val="auto"/>
        <w:outlineLvl w:val="9"/>
        <w:rPr>
          <w:rFonts w:hint="eastAsia" w:ascii="方正仿宋_GBK" w:hAnsi="方正仿宋_GBK" w:eastAsia="方正仿宋_GBK" w:cs="方正仿宋_GBK"/>
          <w:b w:val="0"/>
          <w:bCs w:val="0"/>
          <w:sz w:val="32"/>
          <w:szCs w:val="32"/>
          <w:lang w:eastAsia="zh-CN"/>
        </w:rPr>
      </w:pPr>
      <w:bookmarkStart w:id="1" w:name="主送单位"/>
      <w:bookmarkEnd w:id="1"/>
      <w:r>
        <w:rPr>
          <w:rFonts w:hint="eastAsia" w:ascii="方正仿宋_GBK" w:hAnsi="方正仿宋_GBK" w:eastAsia="方正仿宋_GBK" w:cs="方正仿宋_GBK"/>
          <w:b w:val="0"/>
          <w:bCs w:val="0"/>
          <w:sz w:val="32"/>
          <w:szCs w:val="32"/>
          <w:lang w:eastAsia="zh-CN"/>
        </w:rPr>
        <w:t>各盟行政公署、市人民政府，自治区各委、办、厅、局，各大企业、事业单位：</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rPr>
      </w:pPr>
      <w:r>
        <w:rPr>
          <w:rFonts w:hint="eastAsia" w:ascii="方正仿宋_GBK" w:hAnsi="方正仿宋_GBK" w:eastAsia="方正仿宋_GBK" w:cs="方正仿宋_GBK"/>
          <w:b w:val="0"/>
          <w:bCs w:val="0"/>
          <w:sz w:val="32"/>
          <w:szCs w:val="32"/>
        </w:rPr>
        <w:t>为</w:t>
      </w:r>
      <w:r>
        <w:rPr>
          <w:rFonts w:hint="eastAsia" w:ascii="方正仿宋_GBK" w:hAnsi="方正仿宋_GBK" w:eastAsia="方正仿宋_GBK" w:cs="方正仿宋_GBK"/>
          <w:b w:val="0"/>
          <w:bCs w:val="0"/>
          <w:sz w:val="32"/>
          <w:szCs w:val="32"/>
          <w:lang w:eastAsia="zh-CN"/>
        </w:rPr>
        <w:t>贯彻落实《</w:t>
      </w:r>
      <w:r>
        <w:rPr>
          <w:rFonts w:hint="eastAsia" w:ascii="方正仿宋_GBK" w:hAnsi="方正仿宋_GBK" w:eastAsia="方正仿宋_GBK" w:cs="方正仿宋_GBK"/>
          <w:b w:val="0"/>
          <w:bCs w:val="0"/>
          <w:sz w:val="32"/>
          <w:szCs w:val="32"/>
        </w:rPr>
        <w:t>国务院关于加快建立健全绿色低碳循环发展经济体系的指导意见</w:t>
      </w:r>
      <w:r>
        <w:rPr>
          <w:rFonts w:hint="eastAsia" w:ascii="方正仿宋_GBK" w:hAnsi="方正仿宋_GBK" w:eastAsia="方正仿宋_GBK" w:cs="方正仿宋_GBK"/>
          <w:b w:val="0"/>
          <w:bCs w:val="0"/>
          <w:sz w:val="32"/>
          <w:szCs w:val="32"/>
          <w:lang w:eastAsia="zh-CN"/>
        </w:rPr>
        <w:t>》（</w:t>
      </w:r>
      <w:r>
        <w:rPr>
          <w:rFonts w:hint="eastAsia" w:ascii="方正仿宋_GBK" w:hAnsi="方正仿宋_GBK" w:eastAsia="方正仿宋_GBK" w:cs="方正仿宋_GBK"/>
          <w:b w:val="0"/>
          <w:bCs w:val="0"/>
          <w:sz w:val="32"/>
          <w:szCs w:val="32"/>
        </w:rPr>
        <w:t>国发</w:t>
      </w:r>
      <w:r>
        <w:rPr>
          <w:rFonts w:hint="eastAsia" w:ascii="方正仿宋_GBK" w:hAnsi="方正仿宋_GBK" w:eastAsia="方正仿宋_GBK" w:cs="方正仿宋_GBK"/>
          <w:b w:val="0"/>
          <w:bCs w:val="0"/>
          <w:sz w:val="32"/>
          <w:szCs w:val="32"/>
          <w:lang w:val="en-US" w:eastAsia="zh-CN"/>
        </w:rPr>
        <w:t>〔</w:t>
      </w:r>
      <w:r>
        <w:rPr>
          <w:rFonts w:hint="eastAsia" w:ascii="方正仿宋_GBK" w:hAnsi="方正仿宋_GBK" w:eastAsia="方正仿宋_GBK" w:cs="方正仿宋_GBK"/>
          <w:b w:val="0"/>
          <w:bCs w:val="0"/>
          <w:sz w:val="32"/>
          <w:szCs w:val="32"/>
        </w:rPr>
        <w:t>2021</w:t>
      </w:r>
      <w:r>
        <w:rPr>
          <w:rFonts w:hint="eastAsia" w:ascii="方正仿宋_GBK" w:hAnsi="方正仿宋_GBK" w:eastAsia="方正仿宋_GBK" w:cs="方正仿宋_GBK"/>
          <w:b w:val="0"/>
          <w:bCs w:val="0"/>
          <w:sz w:val="32"/>
          <w:szCs w:val="32"/>
          <w:lang w:val="en-US" w:eastAsia="zh-CN"/>
        </w:rPr>
        <w:t>〕</w:t>
      </w:r>
      <w:r>
        <w:rPr>
          <w:rFonts w:hint="eastAsia" w:ascii="方正仿宋_GBK" w:hAnsi="方正仿宋_GBK" w:eastAsia="方正仿宋_GBK" w:cs="方正仿宋_GBK"/>
          <w:b w:val="0"/>
          <w:bCs w:val="0"/>
          <w:sz w:val="32"/>
          <w:szCs w:val="32"/>
        </w:rPr>
        <w:t>4号</w:t>
      </w:r>
      <w:r>
        <w:rPr>
          <w:rFonts w:hint="eastAsia" w:ascii="方正仿宋_GBK" w:hAnsi="方正仿宋_GBK" w:eastAsia="方正仿宋_GBK" w:cs="方正仿宋_GBK"/>
          <w:b w:val="0"/>
          <w:bCs w:val="0"/>
          <w:sz w:val="32"/>
          <w:szCs w:val="32"/>
          <w:lang w:eastAsia="zh-CN"/>
        </w:rPr>
        <w:t>）</w:t>
      </w:r>
      <w:r>
        <w:rPr>
          <w:rFonts w:hint="eastAsia" w:ascii="方正仿宋_GBK" w:hAnsi="方正仿宋_GBK" w:eastAsia="方正仿宋_GBK" w:cs="方正仿宋_GBK"/>
          <w:b w:val="0"/>
          <w:bCs w:val="0"/>
          <w:sz w:val="32"/>
          <w:szCs w:val="32"/>
          <w:lang w:val="en-US" w:eastAsia="zh-CN"/>
        </w:rPr>
        <w:t>精神，</w:t>
      </w:r>
      <w:r>
        <w:rPr>
          <w:rFonts w:hint="eastAsia" w:ascii="方正仿宋_GBK" w:hAnsi="方正仿宋_GBK" w:eastAsia="方正仿宋_GBK" w:cs="方正仿宋_GBK"/>
          <w:b w:val="0"/>
          <w:bCs w:val="0"/>
          <w:sz w:val="32"/>
          <w:szCs w:val="32"/>
        </w:rPr>
        <w:t>建立健全</w:t>
      </w:r>
      <w:r>
        <w:rPr>
          <w:rFonts w:hint="eastAsia" w:ascii="方正仿宋_GBK" w:hAnsi="方正仿宋_GBK" w:eastAsia="方正仿宋_GBK" w:cs="方正仿宋_GBK"/>
          <w:b w:val="0"/>
          <w:bCs w:val="0"/>
          <w:sz w:val="32"/>
          <w:szCs w:val="32"/>
          <w:lang w:eastAsia="zh-CN"/>
        </w:rPr>
        <w:t>自治区</w:t>
      </w:r>
      <w:r>
        <w:rPr>
          <w:rFonts w:hint="eastAsia" w:ascii="方正仿宋_GBK" w:hAnsi="方正仿宋_GBK" w:eastAsia="方正仿宋_GBK" w:cs="方正仿宋_GBK"/>
          <w:b w:val="0"/>
          <w:bCs w:val="0"/>
          <w:sz w:val="32"/>
          <w:szCs w:val="32"/>
        </w:rPr>
        <w:t>绿色低碳循环发展经济体系，</w:t>
      </w:r>
      <w:r>
        <w:rPr>
          <w:rFonts w:hint="eastAsia" w:ascii="方正仿宋_GBK" w:hAnsi="方正仿宋_GBK" w:eastAsia="方正仿宋_GBK" w:cs="方正仿宋_GBK"/>
          <w:b w:val="0"/>
          <w:bCs w:val="0"/>
          <w:sz w:val="32"/>
          <w:szCs w:val="32"/>
          <w:lang w:eastAsia="zh-CN"/>
        </w:rPr>
        <w:t>推动高质量发展，</w:t>
      </w:r>
      <w:r>
        <w:rPr>
          <w:rFonts w:hint="eastAsia" w:ascii="方正仿宋_GBK" w:hAnsi="方正仿宋_GBK" w:eastAsia="方正仿宋_GBK" w:cs="方正仿宋_GBK"/>
          <w:b w:val="0"/>
          <w:bCs w:val="0"/>
          <w:sz w:val="32"/>
          <w:szCs w:val="32"/>
        </w:rPr>
        <w:t>现</w:t>
      </w:r>
      <w:r>
        <w:rPr>
          <w:rFonts w:hint="eastAsia" w:ascii="方正仿宋_GBK" w:hAnsi="方正仿宋_GBK" w:eastAsia="方正仿宋_GBK" w:cs="方正仿宋_GBK"/>
          <w:b w:val="0"/>
          <w:bCs w:val="0"/>
          <w:sz w:val="32"/>
          <w:szCs w:val="32"/>
          <w:lang w:eastAsia="zh-CN"/>
        </w:rPr>
        <w:t>提出以下具体措施</w:t>
      </w:r>
      <w:r>
        <w:rPr>
          <w:rFonts w:hint="eastAsia" w:ascii="方正仿宋_GBK" w:hAnsi="方正仿宋_GBK" w:eastAsia="方正仿宋_GBK" w:cs="方正仿宋_GBK"/>
          <w:b w:val="0"/>
          <w:bCs w:val="0"/>
          <w:sz w:val="32"/>
          <w:szCs w:val="32"/>
        </w:rPr>
        <w:t>。</w:t>
      </w:r>
    </w:p>
    <w:p>
      <w:pPr>
        <w:pStyle w:val="2"/>
        <w:keepNext w:val="0"/>
        <w:keepLines w:val="0"/>
        <w:pageBreakBefore w:val="0"/>
        <w:kinsoku/>
        <w:wordWrap/>
        <w:autoSpaceDE/>
        <w:autoSpaceDN/>
        <w:bidi w:val="0"/>
        <w:spacing w:before="0" w:after="0" w:line="580" w:lineRule="exact"/>
        <w:ind w:left="0" w:leftChars="0"/>
        <w:textAlignment w:val="auto"/>
        <w:rPr>
          <w:rFonts w:hint="eastAsia"/>
          <w:lang w:eastAsia="zh-CN"/>
        </w:rPr>
      </w:pPr>
    </w:p>
    <w:p>
      <w:pPr>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right="0" w:rightChars="0"/>
        <w:jc w:val="both"/>
        <w:textAlignment w:val="auto"/>
        <w:outlineLvl w:val="9"/>
        <w:rPr>
          <w:rFonts w:hint="eastAsia" w:ascii="方正黑体_GBK" w:hAnsi="方正黑体_GBK" w:eastAsia="方正黑体_GBK" w:cs="方正黑体_GBK"/>
          <w:b w:val="0"/>
          <w:bCs w:val="0"/>
          <w:color w:val="auto"/>
          <w:sz w:val="32"/>
          <w:szCs w:val="32"/>
          <w:lang w:val="en-US" w:eastAsia="zh-CN"/>
        </w:rPr>
      </w:pPr>
      <w:r>
        <w:rPr>
          <w:rFonts w:hint="eastAsia" w:ascii="方正仿宋_GBK" w:hAnsi="方正仿宋_GBK" w:eastAsia="方正仿宋_GBK" w:cs="方正仿宋_GBK"/>
          <w:b w:val="0"/>
          <w:bCs w:val="0"/>
          <w:color w:val="auto"/>
          <w:sz w:val="32"/>
          <w:szCs w:val="32"/>
          <w:lang w:val="en-US" w:eastAsia="zh-CN"/>
        </w:rPr>
        <w:t xml:space="preserve">    </w:t>
      </w:r>
      <w:r>
        <w:rPr>
          <w:rFonts w:hint="eastAsia" w:ascii="方正黑体_GBK" w:hAnsi="方正黑体_GBK" w:eastAsia="方正黑体_GBK" w:cs="方正黑体_GBK"/>
          <w:b w:val="0"/>
          <w:bCs w:val="0"/>
          <w:color w:val="auto"/>
          <w:sz w:val="32"/>
          <w:szCs w:val="32"/>
          <w:lang w:val="en-US" w:eastAsia="zh-CN"/>
        </w:rPr>
        <w:t>一、健全绿色低碳循环发展的生产体系</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firstLineChars="0"/>
        <w:jc w:val="both"/>
        <w:textAlignment w:val="auto"/>
        <w:outlineLvl w:val="9"/>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（一）推进工业绿色升级。</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推动工业行业绿色化改造，对标国家或同行业先进标准，重点对火电、钢铁、电解铝、铁合金、电石、铜铅锌、化工、建材等高耗能行业重点用能企业实施节能改造；在钢铁、煤化工、羊绒纺织、食品加工、生物制药等高耗水行业全面实施工业节水改造；在火电、钢铁、焦化、水泥、玻璃等高排放行业实施超低排放技术改造。</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推行产品绿色设计，围绕提升能源资源利用效率和清洁生产水平，以促进全产业链和产品全生命周期绿色发展为目标，以标杆引领、示范带动为路径，继续创建一批绿色产品、绿色工厂、绿色园区、绿色供应链，制定一批自治区级重点行业绿色制造地方标准，构建高效、清洁、低碳、循环的绿色制造体系。</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大力发展再制造产业，推动产业链向下游延伸、价值链向中高端攀升，加强再制造产品认证与推广应用，引领工业绿色发展。扩大绿色示范覆盖面</w:t>
      </w:r>
      <w:r>
        <w:rPr>
          <w:rFonts w:hint="eastAsia" w:ascii="方正仿宋_GBK" w:hAnsi="方正仿宋_GBK" w:eastAsia="方正仿宋_GBK" w:cs="方正仿宋_GBK"/>
          <w:b w:val="0"/>
          <w:bCs w:val="0"/>
          <w:sz w:val="32"/>
          <w:szCs w:val="32"/>
          <w:lang w:eastAsia="zh-CN"/>
        </w:rPr>
        <w:t>，</w:t>
      </w:r>
      <w:r>
        <w:rPr>
          <w:rFonts w:hint="eastAsia" w:ascii="方正仿宋_GBK" w:hAnsi="方正仿宋_GBK" w:eastAsia="方正仿宋_GBK" w:cs="方正仿宋_GBK"/>
          <w:b w:val="0"/>
          <w:bCs w:val="0"/>
          <w:sz w:val="32"/>
          <w:szCs w:val="32"/>
          <w:lang w:val="en-US" w:eastAsia="zh-CN"/>
        </w:rPr>
        <w:t>打造一批制造业绿色转型升级的示范标杆。</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建设资源综合利用基地，深入推进乌海市大宗固废综合利用基地和托克托、乌拉特前旗工业资源综合利用基地建设，促进工业固废综合利用。选择有基础、有潜力、产业集聚和示范效应明显的地区，合理布局、突出特色，加强体制机制和运行管理模式创新，积极争取列入国家大宗固废综合利用示范基地和骨干企业试点范围。</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全面推行清洁生产，落实《内蒙古自治区清洁生产审核实施细则》，依法在“双超双有高耗能”行业实施强制性清洁生产审核，</w:t>
      </w:r>
      <w:r>
        <w:rPr>
          <w:rFonts w:hint="eastAsia" w:ascii="方正仿宋_GBK" w:hAnsi="方正仿宋_GBK" w:eastAsia="方正仿宋_GBK" w:cs="方正仿宋_GBK"/>
          <w:b w:val="0"/>
          <w:bCs w:val="0"/>
          <w:sz w:val="32"/>
          <w:szCs w:val="32"/>
          <w:lang w:eastAsia="zh-CN"/>
        </w:rPr>
        <w:t>引导企业自愿开展清洁生产审核</w:t>
      </w:r>
      <w:r>
        <w:rPr>
          <w:rFonts w:hint="eastAsia" w:ascii="方正仿宋_GBK" w:hAnsi="方正仿宋_GBK" w:eastAsia="方正仿宋_GBK" w:cs="方正仿宋_GBK"/>
          <w:b w:val="0"/>
          <w:bCs w:val="0"/>
          <w:sz w:val="32"/>
          <w:szCs w:val="32"/>
          <w:lang w:val="en-US" w:eastAsia="zh-CN"/>
        </w:rPr>
        <w:t>。继续深化“散乱污”工</w:t>
      </w:r>
      <w:r>
        <w:rPr>
          <w:rFonts w:hint="eastAsia" w:ascii="方正仿宋_GBK" w:hAnsi="方正仿宋_GBK" w:eastAsia="方正仿宋_GBK" w:cs="方正仿宋_GBK"/>
          <w:b w:val="0"/>
          <w:bCs w:val="0"/>
          <w:sz w:val="32"/>
          <w:szCs w:val="32"/>
        </w:rPr>
        <w:commentReference w:id="0"/>
      </w:r>
      <w:r>
        <w:rPr>
          <w:rFonts w:hint="eastAsia" w:ascii="方正仿宋_GBK" w:hAnsi="方正仿宋_GBK" w:eastAsia="方正仿宋_GBK" w:cs="方正仿宋_GBK"/>
          <w:b w:val="0"/>
          <w:bCs w:val="0"/>
          <w:sz w:val="32"/>
          <w:szCs w:val="32"/>
          <w:lang w:val="en-US" w:eastAsia="zh-CN"/>
        </w:rPr>
        <w:t xml:space="preserve">业企业排查整治，推进自治区环境质量持续改善。加强工业生产环节危险废物管理，完善危险废物全过程动态环境监管体系。 </w:t>
      </w:r>
    </w:p>
    <w:p>
      <w:pPr>
        <w:pStyle w:val="14"/>
        <w:keepNext w:val="0"/>
        <w:keepLines w:val="0"/>
        <w:pageBreakBefore w:val="0"/>
        <w:widowControl w:val="0"/>
        <w:numPr>
          <w:ilvl w:val="0"/>
          <w:numId w:val="1"/>
        </w:numPr>
        <w:kinsoku/>
        <w:wordWrap/>
        <w:overflowPunct/>
        <w:topLinePunct w:val="0"/>
        <w:autoSpaceDE/>
        <w:autoSpaceDN/>
        <w:bidi w:val="0"/>
        <w:spacing w:line="580" w:lineRule="exact"/>
        <w:ind w:left="0" w:leftChars="0" w:right="0" w:rightChars="0" w:firstLine="518" w:firstLineChars="162"/>
        <w:jc w:val="both"/>
        <w:textAlignment w:val="auto"/>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加快农牧业绿色发展。</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鼓励发展生态种植、生态养殖，加快绿色食品、有机农产品和地理标志农产品认证管理。发展生态家庭牧场和牧民合作社，落实畜牧良种补贴政策，推动标准化生产和草原品牌培育。</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发展生态循环农业，推进兴安盟、巴彦淖尔市等农业循环经济示范建设。提高畜禽粪污资源化利用水平，推进畜禽粪便资源化利用重大工程建设。推进农作物秸秆综合利用，以兴安盟、通辽市、赤峰市、巴彦淖尔市等玉米、向日葵、小麦、水稻等粮食主产区为重点，坚持农用优先原则，加大秸秆还田力度。加强农膜污染治理，以开鲁县、五原县、杭锦后旗等为重点，依托国家废旧地膜回收利用示范县项目，推进地膜及农资包装废弃物的减源、回收、利用示范。</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实施耕地质量保护与提升行动，确保耕地数量不减少、质量有提高。落实最严格的耕地保护制度，健全耕地保护补偿制度，推进退化耕地综合治理。</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发展林业循环经济，探索林业+产业模式，实施森林生态标志产品建设工程，组织开展森林生态标志产品认证。推动阿拉善盟、巴彦淖尔市等地区通过梭梭林嫁接肉苁蓉、白刺嫁接锁阳等方式，发展林下经济，实现生态效益与经济效益双赢。</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大力推进农业节水，推广高效节水技术。在粮食主产区扩大膜下滴灌、浅埋滴灌、微灌等高效节水灌溉面积。鼓励开展屠宰废水等农牧产品加工废水无害化处理和循环利用。推行水产健康养殖。实施农药、兽用抗菌药使用减量和产地环境净化行动。落实禁渔制度，依法加快养殖水域滩涂统一规划。</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推进农牧业与旅游、教育、文化、健康等产业深度融合，加快一二三产业融合发展。以河套—土默川平原农业主产区、西辽河平原农业主产区、大兴安岭沿麓农业产业带、呼伦贝尔—锡林郭勒草原畜牧业产业带等农牧主产区为重点区域，推进农牧业、农畜产品加工业、生物质能产业、农牧废弃物循环利用产业、高效有机肥产业、休闲农牧业等多种产业循环链接和集成发展。</w:t>
      </w:r>
    </w:p>
    <w:p>
      <w:pPr>
        <w:keepNext w:val="0"/>
        <w:keepLines w:val="0"/>
        <w:pageBreakBefore w:val="0"/>
        <w:widowControl w:val="0"/>
        <w:numPr>
          <w:ilvl w:val="0"/>
          <w:numId w:val="1"/>
        </w:numPr>
        <w:kinsoku/>
        <w:wordWrap/>
        <w:overflowPunct w:val="0"/>
        <w:topLinePunct w:val="0"/>
        <w:autoSpaceDE/>
        <w:autoSpaceDN/>
        <w:bidi w:val="0"/>
        <w:adjustRightInd/>
        <w:snapToGrid/>
        <w:spacing w:line="580" w:lineRule="exact"/>
        <w:ind w:left="0" w:leftChars="0" w:right="0" w:rightChars="0" w:firstLine="537" w:firstLineChars="168"/>
        <w:jc w:val="both"/>
        <w:textAlignment w:val="auto"/>
        <w:outlineLvl w:val="9"/>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提高服务业绿色发展水平。</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促进商贸企业绿色升级，培育一批绿色流通主体，在推进绿色购物中心创建的基础上，逐步向超市业态延伸，组织企业积极创建绿色商场，培养绿色商场评审员队伍。</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规范发展闲置资源交易，加强再生资源回收和旧货（消费品）流通管理，支持分享经济发展，有序发展出行、住宿等领域共享经济。</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加强信息服务业绿色转型，合理有序控制新建数据中心规模，新建数据中心必须达到绿色数据中心建设标准。推动引进数据中心建设项目，探索建立数据中心统计调度制度和绿色运营维护体系。</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推进会展业绿色发展，推广相关绿色标准，引导自治区党政机关境内办展使用绿色、环保、可反复使用的材料。推动汽修、装修装饰等行业使用低挥发性有机物含量原辅材料。</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倡导酒店、餐饮等行业不主动提供一次性用品，积极推广一次性塑料可替代品，鼓励和引导全区宾馆、酒店等场所在明确收费价格的前提下，通过设置自主购买机、提供续充型洗洁剂等方式提供相关服务。</w:t>
      </w:r>
    </w:p>
    <w:p>
      <w:pPr>
        <w:keepNext w:val="0"/>
        <w:keepLines w:val="0"/>
        <w:pageBreakBefore w:val="0"/>
        <w:widowControl w:val="0"/>
        <w:numPr>
          <w:ilvl w:val="0"/>
          <w:numId w:val="1"/>
        </w:numPr>
        <w:kinsoku/>
        <w:wordWrap/>
        <w:overflowPunct/>
        <w:topLinePunct w:val="0"/>
        <w:autoSpaceDE/>
        <w:autoSpaceDN/>
        <w:bidi w:val="0"/>
        <w:adjustRightInd/>
        <w:snapToGrid/>
        <w:spacing w:line="580" w:lineRule="exact"/>
        <w:ind w:left="0" w:leftChars="0" w:right="0" w:rightChars="0" w:firstLine="537" w:firstLineChars="168"/>
        <w:jc w:val="both"/>
        <w:textAlignment w:val="auto"/>
        <w:outlineLvl w:val="9"/>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壮大绿色环保产业。</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积极申报国家绿色产业示范基地，促进环保产业向园区集聚、环保服务向中心城市集中、工业园区向生态园区转变。引导龙头企业主动发起、中小型创业企业积极参与，构建特色产业生态系统。</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加快培育市场主体，鼓励设立混合所有制公司，实施企业梯次培育，遴选培育产业链领航企业、龙头骨干企业。引导中小企业聚焦主业增强核心竞争力，大力培育“专精特新”企业，打造一批细分行业和细分市场领军企业、单项冠军和“小巨人”企业。</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推行公共机构合同能源管理、合同节水管理，积极推广乌海经济开发区海南工业园区环境污染第三方治理等模式，探索开展以环境治理效果为导向的环境托管服务。进一步放开石油、化工、电力、天然气等领域节能环保竞争性业务，鼓励公共机构推行能源托管服务。</w:t>
      </w:r>
    </w:p>
    <w:p>
      <w:pPr>
        <w:keepNext w:val="0"/>
        <w:keepLines w:val="0"/>
        <w:pageBreakBefore w:val="0"/>
        <w:widowControl w:val="0"/>
        <w:numPr>
          <w:ilvl w:val="0"/>
          <w:numId w:val="1"/>
        </w:numPr>
        <w:kinsoku/>
        <w:wordWrap/>
        <w:overflowPunct/>
        <w:topLinePunct w:val="0"/>
        <w:autoSpaceDE/>
        <w:autoSpaceDN/>
        <w:bidi w:val="0"/>
        <w:adjustRightInd/>
        <w:snapToGrid/>
        <w:spacing w:line="580" w:lineRule="exact"/>
        <w:ind w:left="0" w:leftChars="0" w:right="0" w:rightChars="0" w:firstLine="579" w:firstLineChars="181"/>
        <w:jc w:val="both"/>
        <w:textAlignment w:val="auto"/>
        <w:outlineLvl w:val="9"/>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提升产业园区和产业集群循环化水平。</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科学编制产业园区开发建设规划，严格准入标准，完善循环产业链条，推动形成产业循环耦合。重点建设呼包鄂全区产业研发中心和装备、产品与综合服务业生产基地，建设包头、乌兰察布大宗固体废弃物综合利用、废旧装备清洁回收处理、城镇废弃物回收处理及资源再生利用产业园区，加快建设绿色建材生产基地、农牧业节能节水技术综合利用基地。</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持续推进开展园区循环化改造的内蒙古托—清经济开发区、鄂托克经济开发区等</w:t>
      </w:r>
      <w:r>
        <w:rPr>
          <w:rFonts w:hint="eastAsia" w:ascii="方正仿宋_GBK" w:hAnsi="方正仿宋_GBK" w:eastAsia="方正仿宋_GBK" w:cs="方正仿宋_GBK"/>
          <w:b w:val="0"/>
          <w:bCs w:val="0"/>
          <w:sz w:val="32"/>
          <w:szCs w:val="32"/>
        </w:rPr>
        <w:commentReference w:id="1"/>
      </w:r>
      <w:r>
        <w:rPr>
          <w:rFonts w:hint="eastAsia" w:ascii="方正仿宋_GBK" w:hAnsi="方正仿宋_GBK" w:eastAsia="方正仿宋_GBK" w:cs="方正仿宋_GBK"/>
          <w:b w:val="0"/>
          <w:bCs w:val="0"/>
          <w:sz w:val="32"/>
          <w:szCs w:val="32"/>
          <w:lang w:val="en-US" w:eastAsia="zh-CN"/>
        </w:rPr>
        <w:t>园区绿色高质量发展，提高经济环境效益，扩大示范效应。以国家园区循环化改造示范试点为引领，按照“空间布局合理化、产业结构最优化、产业链接循环化、资源利用高效化、污染治理集中化、基础设施绿色化、运行管理规范化”的要求，推动其他各类产业园区实施循环化改造。</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推动公共设施共建共享、能源梯级利用、资源循环利用和污染物集中安全处置等。立足现有产业基础，加快形成多种能源协同互补、综合利用、集约高效的供能方式。健全危险废物收运体系，推进重点工业园区危险废物集中收集贮存、废铅蓄电池集中收集和跨区域转运、废矿物油收集网络等试点建设。</w:t>
      </w:r>
    </w:p>
    <w:p>
      <w:pPr>
        <w:pStyle w:val="14"/>
        <w:keepNext w:val="0"/>
        <w:keepLines w:val="0"/>
        <w:pageBreakBefore w:val="0"/>
        <w:widowControl w:val="0"/>
        <w:numPr>
          <w:ilvl w:val="0"/>
          <w:numId w:val="1"/>
        </w:numPr>
        <w:kinsoku/>
        <w:wordWrap/>
        <w:overflowPunct/>
        <w:topLinePunct w:val="0"/>
        <w:autoSpaceDE/>
        <w:autoSpaceDN/>
        <w:bidi w:val="0"/>
        <w:spacing w:line="580" w:lineRule="exact"/>
        <w:ind w:left="0" w:leftChars="0" w:right="0" w:rightChars="0" w:firstLine="537" w:firstLineChars="168"/>
        <w:jc w:val="both"/>
        <w:textAlignment w:val="auto"/>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构建绿色供应链。</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鼓励企业开展绿色设计、选择绿色材料、实施绿色采购、打造绿色制造工艺、推行绿色包装、开展绿色运输、做好废弃产品回收处理，科学评估重点产品全生命周期环境影响，实现产品全周期的绿色环保。</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重点在乳品、肉类、羊绒、医药、电子电器、机械制造等行业选择一批代表性强、行业影响力大、经营实力雄厚、管理水平高的龙头企业，建立以资源节约、环境友好为导向的采购、生产、营销、回收及物流绿色供应链体系。</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配合国家开展绿色供应链试点创建工作。鼓励行业协会通过制定规范、咨询服务、行业自律等方式提高行业供应链绿色化水平。</w:t>
      </w:r>
    </w:p>
    <w:p>
      <w:pPr>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黑体_GBK" w:hAnsi="方正黑体_GBK" w:eastAsia="方正黑体_GBK" w:cs="方正黑体_GBK"/>
          <w:b w:val="0"/>
          <w:bCs w:val="0"/>
          <w:color w:val="auto"/>
          <w:sz w:val="32"/>
          <w:szCs w:val="32"/>
          <w:lang w:val="en-US" w:eastAsia="zh-CN"/>
        </w:rPr>
      </w:pPr>
      <w:r>
        <w:rPr>
          <w:rFonts w:hint="eastAsia" w:ascii="方正黑体_GBK" w:hAnsi="方正黑体_GBK" w:eastAsia="方正黑体_GBK" w:cs="方正黑体_GBK"/>
          <w:b w:val="0"/>
          <w:bCs w:val="0"/>
          <w:color w:val="auto"/>
          <w:sz w:val="32"/>
          <w:szCs w:val="32"/>
          <w:lang w:val="en-US" w:eastAsia="zh-CN"/>
        </w:rPr>
        <w:t>二、健全绿色低碳循环发展的流通体系</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firstLineChars="0"/>
        <w:jc w:val="both"/>
        <w:textAlignment w:val="auto"/>
        <w:outlineLvl w:val="9"/>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（七）打造绿色物流。</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积极调整运输结构，发展多式联运，继续落实“公转铁”货运增量要求，加快铁路专用线建设，推进铁路进入大型工矿企业和物流园区。依托呼和浩特和阿拉善高新区的“物流联盟”、满洲里公路口岸国际物流贸易综合体、乌兰察布—二连浩特陆港型国家物流枢纽示范工程等物流项目，以东部盟市为重点，融入京津冀协同发展战略的大循环体系，积极打造“一带一路”物流大通道。</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加强物流运输组织管理，加快相关公共信息平台建设和信息共享，发展甩挂运输、共同配送。推广绿色低碳运输工具，淘汰更新老旧车辆，大力推动城市物流车电动化。促进邮政快递绿色发展，支持邮件快件包装绿色化、减量化，支持邮政快递企业推广应用可循环包装产品，推动新能源、清洁能源车辆在全区邮政快递业的使用。</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鼓励发展智慧仓储、智慧运输，推动建立标准化托盘循环共用制度。支持物流企业构建数字化运营平台，培育一批具有较强竞争力的现代流通企业，推进数字化、智能化改造和跨界融合，加强标准化建设和绿色发展。</w:t>
      </w:r>
    </w:p>
    <w:p>
      <w:pPr>
        <w:keepNext w:val="0"/>
        <w:keepLines w:val="0"/>
        <w:pageBreakBefore w:val="0"/>
        <w:widowControl w:val="0"/>
        <w:numPr>
          <w:ilvl w:val="0"/>
          <w:numId w:val="0"/>
        </w:numPr>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（八）加强再生资源回收利用。</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优化再生资源回收经营者备案“多证合一”，鼓励再生资源回收企业发展“互联网+回收”模式。立足呼包鄂榆城市群和乌兰察布地区，建立以城带乡的再生资源回收体系，促进呼包鄂乌再生资源协同利用和处置。</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推进垃圾分类回收与再生资源回收“两网融合”，依托城市生活垃圾分类设施，创建标准化的可回收物分类投放点，鼓励配备智能化回收设施，全面、准确掌握各类可回收物产生数据。</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加快落实生产者责任延伸制度，引导企业利用互联网、物联网技术，建立逆向回收体系。鼓励企业采用现代信息技术实现废物回收线上与线下有机结合，培育新型商业模式，打造龙头企业，提升行业整体竞争力。</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完善废旧家电回收处理体系，推广典型回收模式和经验做法。加快构建废旧物资循环利用体系，推进呼和浩特、包头、通辽、赤峰等区域性物流枢纽建设自治区废旧物资循环利用体系示范试点。加强废纸、废塑料、废旧轮胎、废金属、废玻璃等再生资源回收利用，培育产业链条及龙头企业，提升资源产出率和回收利用率。</w:t>
      </w:r>
    </w:p>
    <w:p>
      <w:pPr>
        <w:keepNext w:val="0"/>
        <w:keepLines w:val="0"/>
        <w:pageBreakBefore w:val="0"/>
        <w:widowControl w:val="0"/>
        <w:numPr>
          <w:ilvl w:val="0"/>
          <w:numId w:val="0"/>
        </w:numPr>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方正楷体_GBK" w:hAnsi="方正楷体_GBK" w:eastAsia="方正楷体_GBK" w:cs="方正楷体_GBK"/>
          <w:b w:val="0"/>
          <w:bCs w:val="0"/>
          <w:color w:val="auto"/>
          <w:sz w:val="32"/>
          <w:szCs w:val="32"/>
          <w:highlight w:val="none"/>
          <w:lang w:val="en-US" w:eastAsia="zh-CN"/>
        </w:rPr>
      </w:pPr>
      <w:r>
        <w:rPr>
          <w:rFonts w:hint="eastAsia" w:ascii="方正楷体_GBK" w:hAnsi="方正楷体_GBK" w:eastAsia="方正楷体_GBK" w:cs="方正楷体_GBK"/>
          <w:b w:val="0"/>
          <w:bCs w:val="0"/>
          <w:color w:val="auto"/>
          <w:sz w:val="32"/>
          <w:szCs w:val="32"/>
          <w:highlight w:val="none"/>
          <w:lang w:val="en-US" w:eastAsia="zh-CN"/>
        </w:rPr>
        <w:t>（九）建立绿色贸易体系。</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积极引导支持企业发展绿色贸易产品，鼓励绿色产品企业多元开拓国际市场。</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发挥外贸专项资金的导向作用，对绿色贸易产品企业培育自主出口品牌、设立境外营销网络、开展国际市场认证等方面给予支持。</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深化绿色“一带一路”合作，拓宽节能环保、清洁能源等领域技术装备和服务合作。</w:t>
      </w:r>
    </w:p>
    <w:p>
      <w:pPr>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黑体_GBK" w:hAnsi="方正黑体_GBK" w:eastAsia="方正黑体_GBK" w:cs="方正黑体_GBK"/>
          <w:b w:val="0"/>
          <w:bCs w:val="0"/>
          <w:color w:val="auto"/>
          <w:sz w:val="32"/>
          <w:szCs w:val="32"/>
          <w:lang w:val="en-US" w:eastAsia="zh-CN"/>
        </w:rPr>
      </w:pPr>
      <w:r>
        <w:rPr>
          <w:rFonts w:hint="eastAsia" w:ascii="方正黑体_GBK" w:hAnsi="方正黑体_GBK" w:eastAsia="方正黑体_GBK" w:cs="方正黑体_GBK"/>
          <w:b w:val="0"/>
          <w:bCs w:val="0"/>
          <w:color w:val="auto"/>
          <w:sz w:val="32"/>
          <w:szCs w:val="32"/>
          <w:lang w:val="en-US" w:eastAsia="zh-CN"/>
        </w:rPr>
        <w:t>三、健全绿色低碳循环发展的消费体系</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firstLineChars="0"/>
        <w:jc w:val="both"/>
        <w:textAlignment w:val="auto"/>
        <w:outlineLvl w:val="9"/>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（十）促进绿色产品消费。</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加大政府绿色采购力度，扩大绿色产品采购范围，逐步将绿色采购制度扩展至国有企业。</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加强对企业和居民采购绿色产品的引导，倡导绿色消费理念，开展绿色产品消费教育宣传活动。推动电商平台设立绿色产品销售专区。</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加强绿色产品和服务认证管理，完善认证机构信用监管机制。推广绿色电力证书交易，引领全社会提升绿色电力消费。严厉打击虚标绿色产品行为，有关行政处罚等信息纳入国家企业信用信息公示系统（内蒙古）和内蒙古自治区社会信用信息平台。</w:t>
      </w:r>
    </w:p>
    <w:p>
      <w:pPr>
        <w:keepNext w:val="0"/>
        <w:keepLines w:val="0"/>
        <w:pageBreakBefore w:val="0"/>
        <w:widowControl w:val="0"/>
        <w:numPr>
          <w:ilvl w:val="0"/>
          <w:numId w:val="2"/>
        </w:numPr>
        <w:kinsoku/>
        <w:wordWrap/>
        <w:overflowPunct/>
        <w:topLinePunct w:val="0"/>
        <w:autoSpaceDE/>
        <w:autoSpaceDN/>
        <w:bidi w:val="0"/>
        <w:adjustRightInd/>
        <w:snapToGrid/>
        <w:spacing w:line="580" w:lineRule="exact"/>
        <w:ind w:left="0" w:leftChars="0" w:right="0" w:rightChars="0" w:firstLine="540" w:firstLineChars="0"/>
        <w:jc w:val="both"/>
        <w:textAlignment w:val="auto"/>
        <w:outlineLvl w:val="9"/>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倡导绿色低碳生活方式。</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倡导节约粮食，坚决制止餐饮浪费行为。推进生活垃圾分类和减量化、资源化，开展宣传、培训和成效评估。在呼和浩特、鄂尔多斯等城市建成区率先开展生活垃圾强制分类示范试点，以城带乡扩大生活垃圾收集覆盖面。</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扎实推进塑料污染全链条治理，建立健全塑料制品长效管理机制，分步骤、分领域、分区域，有力有序有效治理塑料污染。推进过度包装治理，推动生产经营者遵守限制商品过度包装的强制性标准。</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提升交通系统智能化水平，一、二类城市全面建成或升级公共交通运营调度管理系统、安全监控系统和应急处置系统，实现盟行政公署、市人民政府所在地公交调度中心全覆盖。一、二类城市实现公交信息服务平台与换乘交通方式信息平台的信息共享。呼和浩特市进一步推进地面公交与城市轨道交通的信息共享以及“一卡通”“一码通”出行等便民服务，积极引导绿色出行。</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深入开展爱国卫生运动，整治环境脏乱差，打造宜居生活环境。推进包头市“无废城市”建设试点，开展节约型机关、绿色家庭、绿色学校、绿色社区、绿色出行、绿色商场、绿色建筑等创建活动。</w:t>
      </w:r>
    </w:p>
    <w:p>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left="0" w:leftChars="0" w:right="0" w:rightChars="0"/>
        <w:jc w:val="both"/>
        <w:textAlignment w:val="auto"/>
        <w:outlineLvl w:val="9"/>
        <w:rPr>
          <w:rFonts w:hint="eastAsia" w:ascii="方正黑体_GBK" w:hAnsi="方正黑体_GBK" w:eastAsia="方正黑体_GBK" w:cs="方正黑体_GBK"/>
          <w:b w:val="0"/>
          <w:bCs w:val="0"/>
          <w:sz w:val="32"/>
          <w:szCs w:val="32"/>
          <w:highlight w:val="none"/>
          <w:lang w:val="en-US" w:eastAsia="zh-CN"/>
        </w:rPr>
      </w:pPr>
      <w:r>
        <w:rPr>
          <w:rFonts w:hint="eastAsia" w:ascii="方正仿宋_GBK" w:hAnsi="方正仿宋_GBK" w:eastAsia="方正仿宋_GBK" w:cs="方正仿宋_GBK"/>
          <w:b w:val="0"/>
          <w:bCs w:val="0"/>
          <w:sz w:val="32"/>
          <w:szCs w:val="32"/>
          <w:highlight w:val="none"/>
          <w:lang w:val="en-US" w:eastAsia="zh-CN"/>
        </w:rPr>
        <w:t xml:space="preserve">    </w:t>
      </w:r>
      <w:r>
        <w:rPr>
          <w:rFonts w:hint="eastAsia" w:ascii="方正黑体_GBK" w:hAnsi="方正黑体_GBK" w:eastAsia="方正黑体_GBK" w:cs="方正黑体_GBK"/>
          <w:b w:val="0"/>
          <w:bCs w:val="0"/>
          <w:sz w:val="32"/>
          <w:szCs w:val="32"/>
          <w:highlight w:val="none"/>
          <w:lang w:val="en-US" w:eastAsia="zh-CN"/>
        </w:rPr>
        <w:t>四、加快基础设施绿色升级</w:t>
      </w:r>
    </w:p>
    <w:p>
      <w:pPr>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99" w:leftChars="0" w:right="0" w:rightChars="0" w:hanging="99" w:hangingChars="31"/>
        <w:jc w:val="both"/>
        <w:textAlignment w:val="auto"/>
        <w:outlineLvl w:val="9"/>
        <w:rPr>
          <w:rFonts w:hint="eastAsia" w:ascii="方正楷体_GBK" w:hAnsi="方正楷体_GBK" w:eastAsia="方正楷体_GBK" w:cs="方正楷体_GBK"/>
          <w:b w:val="0"/>
          <w:bCs w:val="0"/>
          <w:color w:val="auto"/>
          <w:sz w:val="32"/>
          <w:szCs w:val="32"/>
          <w:highlight w:val="none"/>
          <w:lang w:val="en-US" w:eastAsia="zh-CN"/>
        </w:rPr>
      </w:pPr>
      <w:r>
        <w:rPr>
          <w:rFonts w:hint="eastAsia" w:ascii="方正仿宋_GBK" w:hAnsi="方正仿宋_GBK" w:eastAsia="方正仿宋_GBK" w:cs="方正仿宋_GBK"/>
          <w:b w:val="0"/>
          <w:bCs w:val="0"/>
          <w:color w:val="auto"/>
          <w:sz w:val="32"/>
          <w:szCs w:val="32"/>
          <w:highlight w:val="none"/>
          <w:lang w:val="en-US" w:eastAsia="zh-CN"/>
        </w:rPr>
        <w:t xml:space="preserve">   </w:t>
      </w:r>
      <w:r>
        <w:rPr>
          <w:rFonts w:hint="eastAsia" w:ascii="方正楷体_GBK" w:hAnsi="方正楷体_GBK" w:eastAsia="方正楷体_GBK" w:cs="方正楷体_GBK"/>
          <w:b w:val="0"/>
          <w:bCs w:val="0"/>
          <w:color w:val="auto"/>
          <w:sz w:val="32"/>
          <w:szCs w:val="32"/>
          <w:highlight w:val="none"/>
          <w:lang w:val="en-US" w:eastAsia="zh-CN"/>
        </w:rPr>
        <w:t xml:space="preserve"> （十二）推动能源体系绿色低碳转型。</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落实能源消费、水资源消耗总量和强度双控要求，在谋划产业、引进项目时，坚持节能、节水优先，坚决遏制“两高”项目盲目发展。推进风光等可再生能源高比例发展，重点建设包头、乌兰察布、鄂尔多斯、巴彦淖尔、阿拉善等千万千瓦级风电基地，推进“光伏+生态治理”“光伏+生态修复”项目和基地建设，加快新能源分布式开发利用。</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加快大容量储能技术研发推广，大力推进电源侧储能发展，发展新能源基地配套储能项目，建设“风光储一体化”“源网荷储一体化”示范项目，提升电网汇集和外送能力。</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促进燃煤清洁高效开发转化利用，严控新增煤电装机容量，淘汰落后煤电机组，转为应急备用和调峰电源，等容量建设大容量、高参数先进机组。积极发展清洁热电联产集中供暖，清洁取暖代替边远地区供热小机组。</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提高能源输配效率。加快锡林郭勒盟、蒙西、上海庙等基地外送通道配套煤电电源及送出工程建设，着力提升输电通道利用效率。加快锡林郭勒盟至山东、锡林郭勒盟至江苏、上海庙至山东、扎鲁特至青州特高压输电通道配套新能源送出工程建设进度。在保障存量通道外送电力、电量稳定供应基础上，提升外送电量中清洁能源比重，探索建设纯清洁能源外送通道。</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着力优化完善全区电网主网架，坚持分层分区原则，加强各级电网协调发展、高效衔接，在重点城市开展局部电网建设。推进电网智能化建设，推广应用智能作业、智能监测、智能巡视等新技术，加快建设智能变电站。全面巩固提升农村牧区电力保障水平，改造升级农村牧区电网，逐步提高农村牧区电网信息化、自动化、智能化。</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加快天然气基础设施互联互通，推进区内互联互通管道建设，实现陕京四线与长呼线、长呼复线等管道互联互通，节约管网资源，充分利用现有管网体系供气，实现区内主要管网互通互保，纳入“全国一张网”。</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highlight w:val="none"/>
          <w:lang w:val="en-US" w:eastAsia="zh-CN"/>
        </w:rPr>
      </w:pPr>
      <w:r>
        <w:rPr>
          <w:rFonts w:hint="eastAsia" w:ascii="方正仿宋_GBK" w:hAnsi="方正仿宋_GBK" w:eastAsia="方正仿宋_GBK" w:cs="方正仿宋_GBK"/>
          <w:b w:val="0"/>
          <w:bCs w:val="0"/>
          <w:sz w:val="32"/>
          <w:szCs w:val="32"/>
          <w:lang w:val="en-US" w:eastAsia="zh-CN"/>
        </w:rPr>
        <w:t>重点推进碳捕集、利用与封存关键技术突破，推动火电、化工、冶金等行业和地质条件适合地区开展近零碳排放试点示范，并在技术成熟的基础上实现二氧化碳捕集、利用和封存技术的集群化、产业化。</w:t>
      </w:r>
    </w:p>
    <w:p>
      <w:pPr>
        <w:keepNext w:val="0"/>
        <w:keepLines w:val="0"/>
        <w:pageBreakBefore w:val="0"/>
        <w:widowControl w:val="0"/>
        <w:numPr>
          <w:ilvl w:val="0"/>
          <w:numId w:val="0"/>
        </w:numPr>
        <w:kinsoku/>
        <w:wordWrap/>
        <w:topLinePunct w:val="0"/>
        <w:autoSpaceDE/>
        <w:autoSpaceDN/>
        <w:bidi w:val="0"/>
        <w:spacing w:line="580" w:lineRule="exact"/>
        <w:ind w:left="0" w:leftChars="0" w:firstLine="537" w:firstLineChars="168"/>
        <w:jc w:val="both"/>
        <w:textAlignment w:val="auto"/>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（十三）推进城镇环境基础设施建设升级。</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按照《“十四五”城镇生活污水垃圾规划》布局，推动城镇生活污水收集处理设施“厂网一体化”，建设完备的污水收集与处理系统，逐步提高污水管网覆盖面积与收集能力。加快推进污水处理设施建设与改造工程，健全污水接入服务和管理制度，加强沿街、沿河商户排水管理。</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加快建设污泥无害化资源化处置设施，鼓励采用厌氧消化、好氧发酵等方式处理污泥，经无害化处理满足相关标准后，用于土地改良、荒地造林、苗木抚育、园林绿化和农业利用。</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做好呼和浩特市、包头市全国黑臭水体治理示范城市建设绩效评估，加大其他地级市城市黑臭水体的摸查和防控力度，实现地级以上城市建成区黑臭水体长治久清。</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596"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pacing w:val="-11"/>
          <w:sz w:val="32"/>
          <w:szCs w:val="32"/>
          <w:lang w:val="en-US" w:eastAsia="zh-CN"/>
        </w:rPr>
        <w:t>实施《内蒙古自治区生活垃圾焚烧发电中长期专项规划（2020—</w:t>
      </w:r>
      <w:r>
        <w:rPr>
          <w:rFonts w:hint="eastAsia" w:ascii="方正仿宋_GBK" w:hAnsi="方正仿宋_GBK" w:eastAsia="方正仿宋_GBK" w:cs="方正仿宋_GBK"/>
          <w:b w:val="0"/>
          <w:bCs w:val="0"/>
          <w:sz w:val="32"/>
          <w:szCs w:val="32"/>
          <w:lang w:val="en-US" w:eastAsia="zh-CN"/>
        </w:rPr>
        <w:t>2030年）》《“十四五”城镇生活垃圾分类和处理设施建设规划》，加快城镇生活垃圾处理设施建设，推进生活垃圾焚烧发电，减少生活垃圾填埋处理。</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加强危险废物集中处置能力建设。鼓励危险废物经营单位和自建利用处置设施单位引进国际国内先进工艺和设备。提高水泥窑协同处置有机危险废物替代化石燃料的比率。</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提升危险废物集中处置信息化、智能化监管水平，严格执行经营许可管理制度。提升医疗废物应急处理能力，指导医疗机构完善相关减少危害的紧急处理措施。做好餐厨垃圾资源化利用和无害化处理，发挥呼伦贝尔市、赤峰市、乌海市餐厨废弃物资源化利用和无害化处理试点带动作用。</w:t>
      </w:r>
    </w:p>
    <w:p>
      <w:pPr>
        <w:keepNext w:val="0"/>
        <w:keepLines w:val="0"/>
        <w:pageBreakBefore w:val="0"/>
        <w:widowControl w:val="0"/>
        <w:numPr>
          <w:ilvl w:val="0"/>
          <w:numId w:val="3"/>
        </w:numPr>
        <w:kinsoku/>
        <w:wordWrap/>
        <w:topLinePunct w:val="0"/>
        <w:autoSpaceDE/>
        <w:autoSpaceDN/>
        <w:bidi w:val="0"/>
        <w:spacing w:line="580" w:lineRule="exact"/>
        <w:ind w:left="0" w:leftChars="0" w:firstLine="579" w:firstLineChars="181"/>
        <w:jc w:val="both"/>
        <w:textAlignment w:val="auto"/>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提升交通基础设施绿色发展水平。</w:t>
      </w:r>
    </w:p>
    <w:p>
      <w:pPr>
        <w:keepNext w:val="0"/>
        <w:keepLines w:val="0"/>
        <w:pageBreakBefore w:val="0"/>
        <w:widowControl/>
        <w:kinsoku/>
        <w:wordWrap/>
        <w:overflowPunct/>
        <w:topLinePunct w:val="0"/>
        <w:autoSpaceDE/>
        <w:autoSpaceDN/>
        <w:bidi w:val="0"/>
        <w:adjustRightInd/>
        <w:snapToGrid/>
        <w:spacing w:line="580" w:lineRule="exact"/>
        <w:ind w:left="0" w:leftChars="0" w:right="0" w:rightChars="0" w:firstLine="640" w:firstLineChars="200"/>
        <w:jc w:val="left"/>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color w:val="auto"/>
          <w:sz w:val="32"/>
          <w:szCs w:val="32"/>
          <w:lang w:val="en-US" w:eastAsia="zh-CN"/>
        </w:rPr>
        <w:t>将生态环保理念贯穿交通基础设施规划、建设、运营和维护全过程，集约利用土地等资源，合理避让具有重要生态功能的国土空间，积极打造绿色公路、绿色铁路、绿色航道、绿色空港。推进“公转铁”，</w:t>
      </w:r>
      <w:r>
        <w:rPr>
          <w:rFonts w:hint="eastAsia" w:ascii="方正仿宋_GBK" w:hAnsi="方正仿宋_GBK" w:eastAsia="方正仿宋_GBK" w:cs="方正仿宋_GBK"/>
          <w:i w:val="0"/>
          <w:caps w:val="0"/>
          <w:color w:val="auto"/>
          <w:spacing w:val="0"/>
          <w:kern w:val="0"/>
          <w:sz w:val="32"/>
          <w:szCs w:val="32"/>
          <w:shd w:val="clear" w:color="auto" w:fill="FFFFFF"/>
          <w:lang w:val="en-US" w:eastAsia="zh-CN" w:bidi="ar"/>
        </w:rPr>
        <w:t>加快年货运量150万吨以上工业企业和新建物流园区铁路专用线建设，构建立体互联、优质高效、便捷舒适、智慧安全、生态绿色的公路交通运输体系。</w:t>
      </w:r>
      <w:r>
        <w:rPr>
          <w:rFonts w:hint="eastAsia" w:ascii="方正仿宋_GBK" w:hAnsi="方正仿宋_GBK" w:eastAsia="方正仿宋_GBK" w:cs="方正仿宋_GBK"/>
          <w:b w:val="0"/>
          <w:bCs w:val="0"/>
          <w:sz w:val="32"/>
          <w:szCs w:val="32"/>
          <w:lang w:val="en-US" w:eastAsia="zh-CN"/>
        </w:rPr>
        <w:t>加强新能源汽车充换电、加氢等配套基础设施建设，推动呼和浩特市、包头市新能源汽车示范城市建设。</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积极推广应用温拌沥青、智能通风、辅助动力替代和节能灯具、隔声屏障等节能环保先进技术和产品。加大工程建设中废弃资源综合利用力度，推动废旧路面、沥青、疏浚土等材料以及建筑垃圾的资源化利用，鼓励建筑垃圾再生骨料及制品在建筑工程和道路工程中的应用。</w:t>
      </w:r>
    </w:p>
    <w:p>
      <w:pPr>
        <w:keepNext w:val="0"/>
        <w:keepLines w:val="0"/>
        <w:pageBreakBefore w:val="0"/>
        <w:widowControl w:val="0"/>
        <w:numPr>
          <w:ilvl w:val="0"/>
          <w:numId w:val="4"/>
        </w:numPr>
        <w:kinsoku/>
        <w:wordWrap/>
        <w:topLinePunct w:val="0"/>
        <w:autoSpaceDE/>
        <w:autoSpaceDN/>
        <w:bidi w:val="0"/>
        <w:spacing w:line="580" w:lineRule="exact"/>
        <w:ind w:left="0" w:leftChars="0" w:firstLine="518" w:firstLineChars="162"/>
        <w:jc w:val="both"/>
        <w:textAlignment w:val="auto"/>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改善城乡人居环境。</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相关空间性规划要贯彻绿色发展理念，统筹城市发展和安全，优化空间布局，合理确定开发强度，鼓励城市留白增绿。做好“美丽城市”建设国家试点工作。</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增强城市防洪排涝能力。构建科学完备的排水系统，完善雨水系统建设，提升雨水收集与排放能力。全面普查排水管网等设施情况，定期对排水管网进行管道内窥检测，建立城市排水系统信息数据库。重点解决城镇雨水管网排水能力不足与合流制管网改造问题。升级改造城镇现状排水防涝泵站，重点提高低洼地区和下穿式立体交叉道路等城区内涝高风险区域的排水能力。开展城镇排水防涝隐患排查整治工作。到2025年，全部消除历史上城市建成区内出现的严重影响人民生活生产安全的积水点。</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开展绿色社区创建行动，将绿色发展理念贯穿社区设计、建设、管理和服务等活动全过程，以简约适度、绿色低碳方式推进社区人居环境建设和整治。</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u w:val="none"/>
          <w:lang w:val="en-US" w:eastAsia="zh-CN"/>
        </w:rPr>
        <w:t>大力发展绿色建筑，扩大绿色建筑标准的执行范围，呼和浩特市、包头市新建建筑全面执行绿色建筑标准，鼓励其他地区扩大绿色建筑实施范围。到2025年，全区城镇新建建筑全部执行绿色建筑标准。鼓励企业发展高星级绿色建筑。</w:t>
      </w:r>
      <w:r>
        <w:rPr>
          <w:rFonts w:hint="eastAsia" w:ascii="方正仿宋_GBK" w:hAnsi="方正仿宋_GBK" w:eastAsia="方正仿宋_GBK" w:cs="方正仿宋_GBK"/>
          <w:b w:val="0"/>
          <w:bCs w:val="0"/>
          <w:sz w:val="32"/>
          <w:szCs w:val="32"/>
          <w:lang w:val="en-US" w:eastAsia="zh-CN"/>
        </w:rPr>
        <w:t>结合城市双修、清洁取暖、城镇老旧小区改造等，积极推广既有居住建筑节能改造模式。鼓励既有居住建筑开展绿色化改造。</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开展乡村评价建设，建立健全工作机制，因地制宜制定实施方案并精心组织实施，积极推动公众参与乡村建设评价全过程，确保乡村建设评价试点工作顺利开展。</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加快农村牧区人居环境整治，深入推进“厕所革命”，推进生活垃圾处理和污水治理、村容村貌提升、乡村绿化美化等行动。探索建立垃圾污水处理农牧户付费制度，完善财政补贴和农牧户付费合理分担机制，</w:t>
      </w:r>
      <w:r>
        <w:rPr>
          <w:rFonts w:hint="eastAsia" w:ascii="方正仿宋_GBK" w:hAnsi="方正仿宋_GBK" w:eastAsia="方正仿宋_GBK" w:cs="方正仿宋_GBK"/>
          <w:b w:val="0"/>
          <w:bCs w:val="0"/>
          <w:sz w:val="32"/>
          <w:szCs w:val="32"/>
          <w:u w:val="none"/>
          <w:lang w:val="en-US" w:eastAsia="zh-CN"/>
        </w:rPr>
        <w:t>推进建立农村牧区卫生厕所长效管护机制</w:t>
      </w:r>
      <w:r>
        <w:rPr>
          <w:rFonts w:hint="eastAsia" w:ascii="方正仿宋_GBK" w:hAnsi="方正仿宋_GBK" w:eastAsia="方正仿宋_GBK" w:cs="方正仿宋_GBK"/>
          <w:b w:val="0"/>
          <w:bCs w:val="0"/>
          <w:sz w:val="32"/>
          <w:szCs w:val="32"/>
          <w:lang w:val="en-US" w:eastAsia="zh-CN"/>
        </w:rPr>
        <w:t>。继续做好农村牧区清洁供暖改造、老旧危房改造，打造干净整洁、有序美丽的村庄环境。</w:t>
      </w:r>
    </w:p>
    <w:p>
      <w:pPr>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黑体_GBK" w:hAnsi="方正黑体_GBK" w:eastAsia="方正黑体_GBK" w:cs="方正黑体_GBK"/>
          <w:b w:val="0"/>
          <w:bCs w:val="0"/>
          <w:color w:val="auto"/>
          <w:sz w:val="32"/>
          <w:szCs w:val="32"/>
          <w:lang w:val="en-US" w:eastAsia="zh-CN"/>
        </w:rPr>
      </w:pPr>
      <w:r>
        <w:rPr>
          <w:rFonts w:hint="eastAsia" w:ascii="方正黑体_GBK" w:hAnsi="方正黑体_GBK" w:eastAsia="方正黑体_GBK" w:cs="方正黑体_GBK"/>
          <w:b w:val="0"/>
          <w:bCs w:val="0"/>
          <w:color w:val="auto"/>
          <w:sz w:val="32"/>
          <w:szCs w:val="32"/>
          <w:lang w:val="en-US" w:eastAsia="zh-CN"/>
        </w:rPr>
        <w:t>五、构建市场导向的绿色技术创新体系</w:t>
      </w:r>
    </w:p>
    <w:p>
      <w:pPr>
        <w:keepNext w:val="0"/>
        <w:keepLines w:val="0"/>
        <w:pageBreakBefore w:val="0"/>
        <w:widowControl w:val="0"/>
        <w:kinsoku/>
        <w:wordWrap/>
        <w:overflowPunct/>
        <w:topLinePunct/>
        <w:autoSpaceDE/>
        <w:autoSpaceDN/>
        <w:bidi w:val="0"/>
        <w:adjustRightInd/>
        <w:snapToGrid/>
        <w:spacing w:line="580" w:lineRule="exact"/>
        <w:ind w:left="0" w:leftChars="0" w:firstLine="640" w:firstLineChars="200"/>
        <w:jc w:val="both"/>
        <w:textAlignment w:val="auto"/>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（十六）鼓励绿色低碳技术研发。</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组织实施绿色技术攻关，围绕节能环保、清洁能源、污染防治、资源综合利用、碳捕集封存利用、大规模储能、氢能、生态系统碳汇等领域，组织实施一批科技重大专项，集成示范先进技术成果。立足内蒙古实际，面向碳达峰、碳中和重大需求，因地制宜加强基础关键技术攻关和先进技术成果转化应用，加强应对气候变化研究。</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强化企业创新主体地位，支持企业联合高校、科研院所等建立市场化运行的绿色技术创新联合体，鼓励企业牵头或参与财政资金支持的绿色技术研发项目、市场导向明确的绿色技术创新项目。</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鼓励高校、科研院所、企业在绿色技术领域培育建设科技创新基地平台，启动自治区级绿色技术创新中心认定工作，加大对绿色技术创新中心的支持力度。</w:t>
      </w:r>
    </w:p>
    <w:p>
      <w:pPr>
        <w:keepNext w:val="0"/>
        <w:keepLines w:val="0"/>
        <w:pageBreakBefore w:val="0"/>
        <w:widowControl w:val="0"/>
        <w:numPr>
          <w:ilvl w:val="0"/>
          <w:numId w:val="0"/>
        </w:numPr>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（十七）加速科技成果转化。</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积极落实中央财政支持首台（套）重大技术装备保险、重点新材料首批次应用保险补偿措施，继续实施自治区财政支持的首台（套）重大技术装备保险、重点新材料首批次应用保险机制，运用市场化手段促进首台（套）绿色技术装备示范应用、重点新材料推广应用。</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加强绿色技术成果转移转化服务机构建设，培育一批具有示范带动作用的市场化、专业化自治区级技术转移示范机构。</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支持企业、高校、科研机构设立市场化、专业化绿色技术转移服务机构，建立绿色技术创新项目孵化器、成果转化基地。</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建设内蒙古科技大市场，开设绿色技术转移版块，及时发布绿色技术推广目录，通过市场手段促进绿色技术创新成果转化。</w:t>
      </w:r>
    </w:p>
    <w:p>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黑体_GBK" w:hAnsi="方正黑体_GBK" w:eastAsia="方正黑体_GBK" w:cs="方正黑体_GBK"/>
          <w:b w:val="0"/>
          <w:bCs w:val="0"/>
          <w:sz w:val="32"/>
          <w:szCs w:val="32"/>
          <w:lang w:val="en-US" w:eastAsia="zh-CN"/>
        </w:rPr>
      </w:pPr>
      <w:r>
        <w:rPr>
          <w:rFonts w:hint="eastAsia" w:ascii="方正黑体_GBK" w:hAnsi="方正黑体_GBK" w:eastAsia="方正黑体_GBK" w:cs="方正黑体_GBK"/>
          <w:b w:val="0"/>
          <w:bCs w:val="0"/>
          <w:color w:val="auto"/>
          <w:sz w:val="32"/>
          <w:szCs w:val="32"/>
          <w:lang w:val="en-US" w:eastAsia="zh-CN"/>
        </w:rPr>
        <w:t>六、完善法规政策体系</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firstLineChars="0"/>
        <w:jc w:val="both"/>
        <w:textAlignment w:val="auto"/>
        <w:outlineLvl w:val="9"/>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（十八）强化法规政策支撑。</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u w:val="none"/>
          <w:lang w:val="en-US" w:eastAsia="zh-CN"/>
        </w:rPr>
        <w:t>完善</w:t>
      </w:r>
      <w:r>
        <w:rPr>
          <w:rFonts w:hint="eastAsia" w:ascii="方正仿宋_GBK" w:hAnsi="方正仿宋_GBK" w:eastAsia="方正仿宋_GBK" w:cs="方正仿宋_GBK"/>
          <w:b w:val="0"/>
          <w:bCs w:val="0"/>
          <w:sz w:val="32"/>
          <w:szCs w:val="32"/>
          <w:lang w:val="en-US" w:eastAsia="zh-CN"/>
        </w:rPr>
        <w:t>促进绿色设计、强化清洁生产、提高资源利用效率、发展循环经济、严格污染治理、推动绿色产业发展、扩大绿色消费、实行环境信息公开等方面制度</w:t>
      </w:r>
      <w:r>
        <w:rPr>
          <w:rFonts w:hint="eastAsia" w:ascii="方正仿宋_GBK" w:hAnsi="方正仿宋_GBK" w:eastAsia="方正仿宋_GBK" w:cs="方正仿宋_GBK"/>
          <w:b w:val="0"/>
          <w:bCs w:val="0"/>
          <w:sz w:val="32"/>
          <w:szCs w:val="32"/>
          <w:u w:val="none"/>
          <w:lang w:val="en-US" w:eastAsia="zh-CN"/>
        </w:rPr>
        <w:t>体系建设</w:t>
      </w:r>
      <w:r>
        <w:rPr>
          <w:rFonts w:hint="eastAsia" w:ascii="方正仿宋_GBK" w:hAnsi="方正仿宋_GBK" w:eastAsia="方正仿宋_GBK" w:cs="方正仿宋_GBK"/>
          <w:b w:val="0"/>
          <w:bCs w:val="0"/>
          <w:sz w:val="32"/>
          <w:szCs w:val="32"/>
          <w:lang w:val="en-US" w:eastAsia="zh-CN"/>
        </w:rPr>
        <w:t>。</w:t>
      </w:r>
      <w:r>
        <w:rPr>
          <w:rFonts w:hint="eastAsia" w:ascii="方正仿宋_GBK" w:hAnsi="方正仿宋_GBK" w:eastAsia="方正仿宋_GBK" w:cs="方正仿宋_GBK"/>
          <w:b w:val="0"/>
          <w:bCs w:val="0"/>
          <w:sz w:val="32"/>
          <w:szCs w:val="32"/>
          <w:u w:val="none"/>
          <w:lang w:val="en-US" w:eastAsia="zh-CN"/>
        </w:rPr>
        <w:t>强化执法监督，加强行政执法机关与监察机关、司法机关的工作衔接配合，加大违法行为查处和问责力度。</w:t>
      </w:r>
    </w:p>
    <w:p>
      <w:pPr>
        <w:keepNext w:val="0"/>
        <w:keepLines w:val="0"/>
        <w:pageBreakBefore w:val="0"/>
        <w:widowControl w:val="0"/>
        <w:numPr>
          <w:ilvl w:val="0"/>
          <w:numId w:val="5"/>
        </w:numPr>
        <w:kinsoku/>
        <w:wordWrap/>
        <w:topLinePunct w:val="0"/>
        <w:autoSpaceDE/>
        <w:autoSpaceDN/>
        <w:bidi w:val="0"/>
        <w:spacing w:line="580" w:lineRule="exact"/>
        <w:ind w:left="0" w:leftChars="0" w:firstLine="579" w:firstLineChars="181"/>
        <w:jc w:val="both"/>
        <w:textAlignment w:val="auto"/>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健全绿色收费价格机制。</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zh-CN" w:eastAsia="zh-CN"/>
        </w:rPr>
      </w:pPr>
      <w:r>
        <w:rPr>
          <w:rFonts w:hint="eastAsia" w:ascii="方正仿宋_GBK" w:hAnsi="方正仿宋_GBK" w:eastAsia="方正仿宋_GBK" w:cs="方正仿宋_GBK"/>
          <w:b w:val="0"/>
          <w:bCs w:val="0"/>
          <w:sz w:val="32"/>
          <w:szCs w:val="32"/>
          <w:lang w:val="zh-CN" w:eastAsia="zh-CN"/>
        </w:rPr>
        <w:t>完善污水处理收费政策，实行城镇污水处理费动态调整、企业污水排放差别化</w:t>
      </w:r>
      <w:r>
        <w:rPr>
          <w:rFonts w:hint="eastAsia" w:ascii="方正仿宋_GBK" w:hAnsi="方正仿宋_GBK" w:eastAsia="方正仿宋_GBK" w:cs="方正仿宋_GBK"/>
          <w:b w:val="0"/>
          <w:bCs w:val="0"/>
          <w:sz w:val="32"/>
          <w:szCs w:val="32"/>
          <w:u w:val="none"/>
          <w:lang w:val="zh-CN" w:eastAsia="zh-CN"/>
        </w:rPr>
        <w:t>收费，建立与</w:t>
      </w:r>
      <w:r>
        <w:rPr>
          <w:rFonts w:hint="eastAsia" w:ascii="方正仿宋_GBK" w:hAnsi="方正仿宋_GBK" w:eastAsia="方正仿宋_GBK" w:cs="方正仿宋_GBK"/>
          <w:b w:val="0"/>
          <w:bCs w:val="0"/>
          <w:sz w:val="32"/>
          <w:szCs w:val="32"/>
          <w:lang w:val="zh-CN" w:eastAsia="zh-CN"/>
        </w:rPr>
        <w:t>污水处理标准相协调的收费制度。加快构建覆盖污水处理和污泥处置成本并合理盈利的价格机制，</w:t>
      </w:r>
      <w:r>
        <w:rPr>
          <w:rFonts w:hint="eastAsia" w:ascii="方正仿宋_GBK" w:hAnsi="方正仿宋_GBK" w:eastAsia="方正仿宋_GBK" w:cs="方正仿宋_GBK"/>
          <w:b w:val="0"/>
          <w:bCs w:val="0"/>
          <w:sz w:val="32"/>
          <w:szCs w:val="32"/>
          <w:u w:val="none"/>
          <w:lang w:val="zh-CN" w:eastAsia="zh-CN"/>
        </w:rPr>
        <w:t>推进污水处理服务费形成市场化，</w:t>
      </w:r>
      <w:r>
        <w:rPr>
          <w:rFonts w:hint="eastAsia" w:ascii="方正仿宋_GBK" w:hAnsi="方正仿宋_GBK" w:eastAsia="方正仿宋_GBK" w:cs="方正仿宋_GBK"/>
          <w:b w:val="0"/>
          <w:bCs w:val="0"/>
          <w:sz w:val="32"/>
          <w:szCs w:val="32"/>
          <w:lang w:val="zh-CN" w:eastAsia="zh-CN"/>
        </w:rPr>
        <w:t>逐步实现城镇污水处理费基本覆盖服务费用。</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按照产生者付费原则，建立健全生活垃圾处理收费制度，根据实际情况，实行分类计价、计量收费等差别化管理。</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完善节能环保电价政策，推进农业水价综合改革，继续落实好居民阶梯电价、气价、水价制度。</w:t>
      </w:r>
    </w:p>
    <w:p>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left="0" w:leftChars="0" w:right="0" w:rightChars="0" w:firstLine="537" w:firstLineChars="168"/>
        <w:jc w:val="both"/>
        <w:textAlignment w:val="auto"/>
        <w:outlineLvl w:val="9"/>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（二十）加大财税扶持力度。</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继续利用财政资金和预算内投资，支持环境基础设施补短板强弱项、绿色环保产业发展、能源高效利用、资源循</w:t>
      </w:r>
      <w:r>
        <w:rPr>
          <w:rFonts w:hint="eastAsia" w:ascii="方正仿宋_GBK" w:hAnsi="方正仿宋_GBK" w:eastAsia="方正仿宋_GBK" w:cs="方正仿宋_GBK"/>
          <w:b w:val="0"/>
          <w:bCs w:val="0"/>
          <w:sz w:val="32"/>
          <w:szCs w:val="32"/>
          <w:u w:val="none"/>
          <w:lang w:val="en-US" w:eastAsia="zh-CN"/>
        </w:rPr>
        <w:t>环利用等</w:t>
      </w:r>
      <w:r>
        <w:rPr>
          <w:rFonts w:hint="eastAsia" w:ascii="方正仿宋_GBK" w:hAnsi="方正仿宋_GBK" w:eastAsia="方正仿宋_GBK" w:cs="方正仿宋_GBK"/>
          <w:b w:val="0"/>
          <w:bCs w:val="0"/>
          <w:sz w:val="32"/>
          <w:szCs w:val="32"/>
          <w:lang w:val="en-US" w:eastAsia="zh-CN"/>
        </w:rPr>
        <w:t>。将污染防治攻坚作为财政投入重点保障和优先支持领域，围绕既定的污染防治攻坚战目标，科学测算资金需求，建立有效保障机制，提高环境治理水平。</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综合运用财政资金、政策、体制调整等措施，控制园区数量、优化园区布局、完善园区功能、提升园区承载力，明确各类园区发展方向、功能定位和产业重点，重点推动基础设施配套、产业扩容、循环改造和园区升级，实现园区协调发展和差异化发展。</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优化服务措施，全面落实符合条件的环境保护、节能节水、资源综合利用以及节能服务公司实施</w:t>
      </w:r>
      <w:r>
        <w:rPr>
          <w:rFonts w:hint="eastAsia" w:ascii="方正仿宋_GBK" w:hAnsi="方正仿宋_GBK" w:eastAsia="方正仿宋_GBK" w:cs="方正仿宋_GBK"/>
          <w:b w:val="0"/>
          <w:bCs w:val="0"/>
          <w:sz w:val="32"/>
          <w:szCs w:val="32"/>
          <w:u w:val="none"/>
          <w:lang w:val="en-US" w:eastAsia="zh-CN"/>
        </w:rPr>
        <w:t>合同能源管理领域</w:t>
      </w:r>
      <w:r>
        <w:rPr>
          <w:rFonts w:hint="eastAsia" w:ascii="方正仿宋_GBK" w:hAnsi="方正仿宋_GBK" w:eastAsia="方正仿宋_GBK" w:cs="方正仿宋_GBK"/>
          <w:b w:val="0"/>
          <w:bCs w:val="0"/>
          <w:sz w:val="32"/>
          <w:szCs w:val="32"/>
          <w:lang w:val="en-US" w:eastAsia="zh-CN"/>
        </w:rPr>
        <w:t>减免企业所得税、增值税等有利于绿色发展的税收优惠政策。持续优化纳税服务措施，对有关税收优惠政策具体内容、办税流程、管理方式等开展多渠道、多平台、多视角宣传辅导。</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积极做好能源矿产、金属矿产、非金属矿产、水气矿产、盐的资源税征收工作。做好水资源税改革试点工作，落实超采区地下水、超计划或者超定额取用水水资源税政策。</w:t>
      </w:r>
    </w:p>
    <w:p>
      <w:pPr>
        <w:keepNext w:val="0"/>
        <w:keepLines w:val="0"/>
        <w:pageBreakBefore w:val="0"/>
        <w:widowControl w:val="0"/>
        <w:numPr>
          <w:ilvl w:val="0"/>
          <w:numId w:val="0"/>
        </w:numPr>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方正楷体_GBK" w:hAnsi="方正楷体_GBK" w:eastAsia="方正楷体_GBK" w:cs="方正楷体_GBK"/>
          <w:b w:val="0"/>
          <w:bCs w:val="0"/>
          <w:color w:val="auto"/>
          <w:sz w:val="32"/>
          <w:szCs w:val="32"/>
          <w:highlight w:val="none"/>
          <w:lang w:val="en-US" w:eastAsia="zh-CN"/>
        </w:rPr>
      </w:pPr>
      <w:r>
        <w:rPr>
          <w:rFonts w:hint="eastAsia" w:ascii="方正楷体_GBK" w:hAnsi="方正楷体_GBK" w:eastAsia="方正楷体_GBK" w:cs="方正楷体_GBK"/>
          <w:b w:val="0"/>
          <w:bCs w:val="0"/>
          <w:color w:val="auto"/>
          <w:sz w:val="32"/>
          <w:szCs w:val="32"/>
          <w:highlight w:val="none"/>
          <w:lang w:val="en-US" w:eastAsia="zh-CN"/>
        </w:rPr>
        <w:t>（二十一）大力发展绿色金融。</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继续落实人民银行将金融机构绿色金融评价结果纳入央行金融机构评级的激励措施。配合人民银行总行落实相关绿色金融业绩考核政策，鼓励金融机构支持具有良好环境效益的项目和企业。推动金融机构通过债券市场发行绿色金融债券，支持符合条件的绿色企业或项目通过发行绿色债券或债券融资工具募集资金。督促发债企业定期披露募集资金使用、项目进展以及实现的环境效益等信息，强化对发债企业绿色投融资行为的约束。</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探索与“一带一路”沿线国家绿色金融合作方式，积极推进区域性绿色金融国际合作，助力打造绿色中蒙俄经济走廊。支持区内符合条件的法人金融机构和企业到境外发行绿色债券。吸引国际资金投资自治区绿色债券、绿色股票和其他绿色金融资产。</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color w:val="auto"/>
          <w:sz w:val="32"/>
          <w:szCs w:val="32"/>
          <w:lang w:val="en-US" w:eastAsia="zh-CN"/>
        </w:rPr>
      </w:pPr>
      <w:r>
        <w:rPr>
          <w:rFonts w:hint="eastAsia" w:ascii="方正仿宋_GBK" w:hAnsi="方正仿宋_GBK" w:eastAsia="方正仿宋_GBK" w:cs="方正仿宋_GBK"/>
          <w:b w:val="0"/>
          <w:bCs w:val="0"/>
          <w:sz w:val="32"/>
          <w:szCs w:val="32"/>
          <w:lang w:val="en-US" w:eastAsia="zh-CN"/>
        </w:rPr>
        <w:t xml:space="preserve">积极发展绿色保险，督促引导银行保险机构加大绿色金融产品、服务和机制创新，引导机构在绿色金融组织架构建立、绿色金融业绩考评、产品和服务创新方面加大力度。                    </w:t>
      </w:r>
      <w:r>
        <w:rPr>
          <w:rFonts w:hint="eastAsia" w:ascii="方正仿宋_GBK" w:hAnsi="方正仿宋_GBK" w:eastAsia="方正仿宋_GBK" w:cs="方正仿宋_GBK"/>
          <w:b w:val="0"/>
          <w:bCs w:val="0"/>
          <w:color w:val="auto"/>
          <w:sz w:val="32"/>
          <w:szCs w:val="32"/>
          <w:lang w:val="en-US" w:eastAsia="zh-CN"/>
        </w:rPr>
        <w:t xml:space="preserve">                                                                                                                                                                                                                                                                                                                                                                                                                                                                                                                                                                                                                                                                                                                                                                                                                                                                                                                                                                                                                                                                                                                                                                                                                                                                                                                                                                                                                                                                                                                                                                                                                                                                                                                                                                                                                                                                                                                                                                                                                                                                                                                                                                                                                                                                                                                                                                                                                                                                                                                                                                                                                                                                                                                                                                                                                                                                                                                                                                                                                                                                                                                                                                                                                                                                                                                                                                                                                                                                                                                                                                                                                                                                                                                                                                                                                                                                                                                                                                                                                                                                                                                                                                                                                </w:t>
      </w:r>
      <w:r>
        <w:rPr>
          <w:rFonts w:hint="eastAsia" w:ascii="方正仿宋_GBK" w:hAnsi="方正仿宋_GBK" w:eastAsia="方正仿宋_GBK" w:cs="方正仿宋_GBK"/>
          <w:b w:val="0"/>
          <w:bCs w:val="0"/>
          <w:color w:val="auto"/>
          <w:sz w:val="32"/>
          <w:szCs w:val="32"/>
          <w:lang w:val="en-US" w:eastAsia="zh-CN"/>
        </w:rPr>
        <w:t xml:space="preserve">                                                                                                                                                                                                                                                                                                                                                                                                                           </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firstLineChars="0"/>
        <w:jc w:val="both"/>
        <w:textAlignment w:val="auto"/>
        <w:outlineLvl w:val="9"/>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（二十二）完善绿色标准体系、统计监测和绿色产品认证。</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完善绿色标准体系建设，重点开展高耗水行业（火力发电、氯碱、食品发酵）节水型企业标准体系，以及电解铝、生物制药等工业节能诊断标准体系建设，不断提升能源利用和管理水平。</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u w:val="none"/>
          <w:lang w:val="en-US" w:eastAsia="zh-CN"/>
        </w:rPr>
      </w:pPr>
      <w:r>
        <w:rPr>
          <w:rFonts w:hint="eastAsia" w:ascii="方正仿宋_GBK" w:hAnsi="方正仿宋_GBK" w:eastAsia="方正仿宋_GBK" w:cs="方正仿宋_GBK"/>
          <w:b w:val="0"/>
          <w:bCs w:val="0"/>
          <w:sz w:val="32"/>
          <w:szCs w:val="32"/>
          <w:u w:val="none"/>
          <w:lang w:val="en-US" w:eastAsia="zh-CN"/>
        </w:rPr>
        <w:t>通过“认证行政监管系统”，加强对从事绿色产品认证机构活动的监管，规范绿色产品认证活动。</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加强对节能环保、清洁生产、清洁能源等领域的统计监测，健全相关制度，强化统计信息共享。</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firstLineChars="0"/>
        <w:jc w:val="both"/>
        <w:textAlignment w:val="auto"/>
        <w:outlineLvl w:val="9"/>
        <w:rPr>
          <w:rFonts w:hint="eastAsia" w:ascii="方正楷体_GBK" w:hAnsi="方正楷体_GBK" w:eastAsia="方正楷体_GBK" w:cs="方正楷体_GBK"/>
          <w:b w:val="0"/>
          <w:bCs w:val="0"/>
          <w:color w:val="auto"/>
          <w:sz w:val="32"/>
          <w:szCs w:val="32"/>
          <w:lang w:val="en-US" w:eastAsia="zh-CN"/>
        </w:rPr>
      </w:pPr>
      <w:r>
        <w:rPr>
          <w:rFonts w:hint="eastAsia" w:ascii="方正楷体_GBK" w:hAnsi="方正楷体_GBK" w:eastAsia="方正楷体_GBK" w:cs="方正楷体_GBK"/>
          <w:b w:val="0"/>
          <w:bCs w:val="0"/>
          <w:color w:val="auto"/>
          <w:sz w:val="32"/>
          <w:szCs w:val="32"/>
          <w:lang w:val="en-US" w:eastAsia="zh-CN"/>
        </w:rPr>
        <w:t>（二十三）培育绿色交易市场机制。</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完善排污权交易相关制度体系，探索建立排污权二级市场。</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建立健全用能权交易机制，指导盟市在完成“双控”目标的前提下，将高耗能项目全部纳入用能预算管理，将优先用能要素向高质量发展项目倾斜。</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进一步完善用水权交易机制，在重点区域进一步探索实施灌区节水改造建设及水权交易，全力推进盟市间水权转让，实现引黄灌区“提质、增效、节水、压超”目标。</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完善碳排放权交易机制，做好重点控排企业排放数据核算与核查，开展发电行业企业分配额分配与清缴履约、碳市场相关能力建设、温室气体排放信息披露等工作。</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做好绿色权属交易与相关目标指标的对接协调，加快建立初始分配、有偿使用、市场交易、纠纷解决、配套服务等制度。</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0" w:firstLineChars="0"/>
        <w:jc w:val="both"/>
        <w:textAlignment w:val="auto"/>
        <w:outlineLvl w:val="9"/>
        <w:rPr>
          <w:rFonts w:hint="eastAsia" w:ascii="方正黑体_GBK" w:hAnsi="方正黑体_GBK" w:eastAsia="方正黑体_GBK" w:cs="方正黑体_GBK"/>
          <w:b w:val="0"/>
          <w:bCs w:val="0"/>
          <w:sz w:val="32"/>
          <w:szCs w:val="32"/>
        </w:rPr>
      </w:pPr>
      <w:r>
        <w:rPr>
          <w:rFonts w:hint="eastAsia" w:ascii="方正仿宋_GBK" w:hAnsi="方正仿宋_GBK" w:eastAsia="方正仿宋_GBK" w:cs="方正仿宋_GBK"/>
          <w:b w:val="0"/>
          <w:bCs w:val="0"/>
          <w:sz w:val="32"/>
          <w:szCs w:val="32"/>
          <w:lang w:val="en-US" w:eastAsia="zh-CN"/>
        </w:rPr>
        <w:t xml:space="preserve">    </w:t>
      </w:r>
      <w:r>
        <w:rPr>
          <w:rFonts w:hint="eastAsia" w:ascii="方正黑体_GBK" w:hAnsi="方正黑体_GBK" w:eastAsia="方正黑体_GBK" w:cs="方正黑体_GBK"/>
          <w:b w:val="0"/>
          <w:bCs w:val="0"/>
          <w:sz w:val="32"/>
          <w:szCs w:val="32"/>
          <w:lang w:val="en-US" w:eastAsia="zh-CN"/>
        </w:rPr>
        <w:t>七、</w:t>
      </w:r>
      <w:r>
        <w:rPr>
          <w:rFonts w:hint="eastAsia" w:ascii="方正黑体_GBK" w:hAnsi="方正黑体_GBK" w:eastAsia="方正黑体_GBK" w:cs="方正黑体_GBK"/>
          <w:b w:val="0"/>
          <w:bCs w:val="0"/>
          <w:sz w:val="32"/>
          <w:szCs w:val="32"/>
        </w:rPr>
        <w:t>组织</w:t>
      </w:r>
      <w:r>
        <w:rPr>
          <w:rFonts w:hint="eastAsia" w:ascii="方正黑体_GBK" w:hAnsi="方正黑体_GBK" w:eastAsia="方正黑体_GBK" w:cs="方正黑体_GBK"/>
          <w:b w:val="0"/>
          <w:bCs w:val="0"/>
          <w:sz w:val="32"/>
          <w:szCs w:val="32"/>
          <w:lang w:eastAsia="zh-CN"/>
        </w:rPr>
        <w:t>落实</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firstLineChars="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楷体_GBK" w:hAnsi="方正楷体_GBK" w:eastAsia="方正楷体_GBK" w:cs="方正楷体_GBK"/>
          <w:b w:val="0"/>
          <w:bCs w:val="0"/>
          <w:sz w:val="32"/>
          <w:szCs w:val="32"/>
        </w:rPr>
        <w:t>（二十</w:t>
      </w:r>
      <w:r>
        <w:rPr>
          <w:rFonts w:hint="eastAsia" w:ascii="方正楷体_GBK" w:hAnsi="方正楷体_GBK" w:eastAsia="方正楷体_GBK" w:cs="方正楷体_GBK"/>
          <w:b w:val="0"/>
          <w:bCs w:val="0"/>
          <w:sz w:val="32"/>
          <w:szCs w:val="32"/>
          <w:lang w:eastAsia="zh-CN"/>
        </w:rPr>
        <w:t>四</w:t>
      </w:r>
      <w:r>
        <w:rPr>
          <w:rFonts w:hint="eastAsia" w:ascii="方正楷体_GBK" w:hAnsi="方正楷体_GBK" w:eastAsia="方正楷体_GBK" w:cs="方正楷体_GBK"/>
          <w:b w:val="0"/>
          <w:bCs w:val="0"/>
          <w:sz w:val="32"/>
          <w:szCs w:val="32"/>
        </w:rPr>
        <w:t>）</w:t>
      </w:r>
      <w:r>
        <w:rPr>
          <w:rFonts w:hint="eastAsia" w:ascii="方正楷体_GBK" w:hAnsi="方正楷体_GBK" w:eastAsia="方正楷体_GBK" w:cs="方正楷体_GBK"/>
          <w:b w:val="0"/>
          <w:bCs w:val="0"/>
          <w:sz w:val="32"/>
          <w:szCs w:val="32"/>
          <w:lang w:eastAsia="zh-CN"/>
        </w:rPr>
        <w:t>加强组织领导。</w:t>
      </w:r>
      <w:r>
        <w:rPr>
          <w:rFonts w:hint="eastAsia" w:ascii="方正仿宋_GBK" w:hAnsi="方正仿宋_GBK" w:eastAsia="方正仿宋_GBK" w:cs="方正仿宋_GBK"/>
          <w:b w:val="0"/>
          <w:bCs w:val="0"/>
          <w:sz w:val="32"/>
          <w:szCs w:val="32"/>
          <w:lang w:val="en-US" w:eastAsia="zh-CN"/>
        </w:rPr>
        <w:t>各地区各部门要充分认识建立健全绿色低碳循环发展经济体系的重要性和紧迫性，将其作为高质量发展的重要内容，进一步加强组织领导，压实工作责任，强化督促落实，确保各项措施落到实处，保质保量完成各项任务。</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firstLineChars="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楷体_GBK" w:hAnsi="方正楷体_GBK" w:eastAsia="方正楷体_GBK" w:cs="方正楷体_GBK"/>
          <w:b w:val="0"/>
          <w:bCs w:val="0"/>
          <w:sz w:val="32"/>
          <w:szCs w:val="32"/>
        </w:rPr>
        <w:t>（二十</w:t>
      </w:r>
      <w:r>
        <w:rPr>
          <w:rFonts w:hint="eastAsia" w:ascii="方正楷体_GBK" w:hAnsi="方正楷体_GBK" w:eastAsia="方正楷体_GBK" w:cs="方正楷体_GBK"/>
          <w:b w:val="0"/>
          <w:bCs w:val="0"/>
          <w:sz w:val="32"/>
          <w:szCs w:val="32"/>
          <w:lang w:eastAsia="zh-CN"/>
        </w:rPr>
        <w:t>五</w:t>
      </w:r>
      <w:r>
        <w:rPr>
          <w:rFonts w:hint="eastAsia" w:ascii="方正楷体_GBK" w:hAnsi="方正楷体_GBK" w:eastAsia="方正楷体_GBK" w:cs="方正楷体_GBK"/>
          <w:b w:val="0"/>
          <w:bCs w:val="0"/>
          <w:sz w:val="32"/>
          <w:szCs w:val="32"/>
        </w:rPr>
        <w:t>）强</w:t>
      </w:r>
      <w:r>
        <w:rPr>
          <w:rFonts w:hint="eastAsia" w:ascii="方正楷体_GBK" w:hAnsi="方正楷体_GBK" w:eastAsia="方正楷体_GBK" w:cs="方正楷体_GBK"/>
          <w:b w:val="0"/>
          <w:bCs w:val="0"/>
          <w:sz w:val="32"/>
          <w:szCs w:val="32"/>
          <w:lang w:eastAsia="zh-CN"/>
        </w:rPr>
        <w:t>化</w:t>
      </w:r>
      <w:r>
        <w:rPr>
          <w:rFonts w:hint="eastAsia" w:ascii="方正楷体_GBK" w:hAnsi="方正楷体_GBK" w:eastAsia="方正楷体_GBK" w:cs="方正楷体_GBK"/>
          <w:b w:val="0"/>
          <w:bCs w:val="0"/>
          <w:sz w:val="32"/>
          <w:szCs w:val="32"/>
        </w:rPr>
        <w:t>统筹协调</w:t>
      </w:r>
      <w:r>
        <w:rPr>
          <w:rFonts w:hint="eastAsia" w:ascii="方正楷体_GBK" w:hAnsi="方正楷体_GBK" w:eastAsia="方正楷体_GBK" w:cs="方正楷体_GBK"/>
          <w:b w:val="0"/>
          <w:bCs w:val="0"/>
          <w:sz w:val="32"/>
          <w:szCs w:val="32"/>
          <w:lang w:eastAsia="zh-CN"/>
        </w:rPr>
        <w:t>。</w:t>
      </w:r>
      <w:r>
        <w:rPr>
          <w:rFonts w:hint="eastAsia" w:ascii="方正仿宋_GBK" w:hAnsi="方正仿宋_GBK" w:eastAsia="方正仿宋_GBK" w:cs="方正仿宋_GBK"/>
          <w:b w:val="0"/>
          <w:bCs w:val="0"/>
          <w:sz w:val="32"/>
          <w:szCs w:val="32"/>
          <w:lang w:val="en-US" w:eastAsia="zh-CN"/>
        </w:rPr>
        <w:t>充分发挥自治区循环经济厅际联席会议制度作用，各有关部门要加强协同配合，形成工作合力。自治区发展改革委要会同有关部门强化统筹协调和督促指导，按季度调度工作开展情况，定期召开会议研究解决工作中的具体问题，及时总结好经验好模式并加以推广。</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firstLineChars="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楷体_GBK" w:hAnsi="方正楷体_GBK" w:eastAsia="方正楷体_GBK" w:cs="方正楷体_GBK"/>
          <w:b w:val="0"/>
          <w:bCs w:val="0"/>
          <w:sz w:val="32"/>
          <w:szCs w:val="32"/>
        </w:rPr>
        <w:t>（二十</w:t>
      </w:r>
      <w:r>
        <w:rPr>
          <w:rFonts w:hint="eastAsia" w:ascii="方正楷体_GBK" w:hAnsi="方正楷体_GBK" w:eastAsia="方正楷体_GBK" w:cs="方正楷体_GBK"/>
          <w:b w:val="0"/>
          <w:bCs w:val="0"/>
          <w:sz w:val="32"/>
          <w:szCs w:val="32"/>
          <w:lang w:eastAsia="zh-CN"/>
        </w:rPr>
        <w:t>六</w:t>
      </w:r>
      <w:r>
        <w:rPr>
          <w:rFonts w:hint="eastAsia" w:ascii="方正楷体_GBK" w:hAnsi="方正楷体_GBK" w:eastAsia="方正楷体_GBK" w:cs="方正楷体_GBK"/>
          <w:b w:val="0"/>
          <w:bCs w:val="0"/>
          <w:sz w:val="32"/>
          <w:szCs w:val="32"/>
        </w:rPr>
        <w:t>）营造良好氛围</w:t>
      </w:r>
      <w:r>
        <w:rPr>
          <w:rFonts w:hint="eastAsia" w:ascii="方正楷体_GBK" w:hAnsi="方正楷体_GBK" w:eastAsia="方正楷体_GBK" w:cs="方正楷体_GBK"/>
          <w:b w:val="0"/>
          <w:bCs w:val="0"/>
          <w:sz w:val="32"/>
          <w:szCs w:val="32"/>
          <w:lang w:eastAsia="zh-CN"/>
        </w:rPr>
        <w:t>。</w:t>
      </w:r>
      <w:r>
        <w:rPr>
          <w:rFonts w:hint="eastAsia" w:ascii="方正仿宋_GBK" w:hAnsi="方正仿宋_GBK" w:eastAsia="方正仿宋_GBK" w:cs="方正仿宋_GBK"/>
          <w:b w:val="0"/>
          <w:bCs w:val="0"/>
          <w:sz w:val="32"/>
          <w:szCs w:val="32"/>
          <w:lang w:eastAsia="zh-CN"/>
        </w:rPr>
        <w:t>各地区各部门</w:t>
      </w:r>
      <w:r>
        <w:rPr>
          <w:rFonts w:hint="eastAsia" w:ascii="方正仿宋_GBK" w:hAnsi="方正仿宋_GBK" w:eastAsia="方正仿宋_GBK" w:cs="方正仿宋_GBK"/>
          <w:b w:val="0"/>
          <w:bCs w:val="0"/>
          <w:sz w:val="32"/>
          <w:szCs w:val="32"/>
          <w:lang w:val="en-US" w:eastAsia="zh-CN"/>
        </w:rPr>
        <w:t>要充分利用各类新闻媒体，加强绿色低碳循环发展宣贯工作，大力宣传取得的显著成效，积极宣传先进典型，适时曝光破坏生态、污染环境、严重浪费资源和违规乱上高污染、高耗能项目等方面的负面典型，为推动绿色低碳循环发展营造良好氛围。</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附件：内蒙古自治区加快建立健全绿色低碳循环发展经济体</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1600" w:firstLineChars="500"/>
        <w:jc w:val="both"/>
        <w:textAlignment w:val="auto"/>
        <w:outlineLvl w:val="9"/>
        <w:rPr>
          <w:rFonts w:hint="eastAsia" w:ascii="方正仿宋_GBK" w:hAnsi="方正仿宋_GBK" w:eastAsia="方正仿宋_GBK" w:cs="方正仿宋_GBK"/>
          <w:b w:val="0"/>
          <w:bCs w:val="0"/>
          <w:sz w:val="32"/>
          <w:szCs w:val="32"/>
          <w:lang w:val="en-US" w:eastAsia="zh-CN"/>
        </w:rPr>
      </w:pPr>
      <w:r>
        <w:rPr>
          <w:rFonts w:hint="eastAsia" w:ascii="方正仿宋_GBK" w:hAnsi="方正仿宋_GBK" w:eastAsia="方正仿宋_GBK" w:cs="方正仿宋_GBK"/>
          <w:b w:val="0"/>
          <w:bCs w:val="0"/>
          <w:sz w:val="32"/>
          <w:szCs w:val="32"/>
          <w:lang w:val="en-US" w:eastAsia="zh-CN"/>
        </w:rPr>
        <w:t>系重点任务分工</w:t>
      </w:r>
    </w:p>
    <w:p>
      <w:pPr>
        <w:keepNext w:val="0"/>
        <w:keepLines w:val="0"/>
        <w:pageBreakBefore w:val="0"/>
        <w:widowControl w:val="0"/>
        <w:kinsoku/>
        <w:wordWrap/>
        <w:overflowPunct/>
        <w:topLinePunct w:val="0"/>
        <w:autoSpaceDE/>
        <w:autoSpaceDN/>
        <w:bidi w:val="0"/>
        <w:adjustRightInd/>
        <w:snapToGrid/>
        <w:spacing w:line="580" w:lineRule="exact"/>
        <w:ind w:left="0" w:leftChars="0"/>
        <w:jc w:val="both"/>
        <w:textAlignment w:val="auto"/>
        <w:rPr>
          <w:rFonts w:hint="default" w:ascii="Times New Roman" w:hAnsi="Times New Roman" w:eastAsia="仿宋" w:cs="Times New Roman"/>
          <w:b w:val="0"/>
          <w:bCs w:val="0"/>
          <w:kern w:val="2"/>
          <w:sz w:val="32"/>
          <w:szCs w:val="32"/>
          <w:lang w:val="en-US" w:eastAsia="zh-CN" w:bidi="ar-SA"/>
        </w:rPr>
      </w:pPr>
      <w:r>
        <w:rPr>
          <w:rFonts w:hint="default" w:ascii="Times New Roman" w:hAnsi="Times New Roman" w:eastAsia="仿宋" w:cs="Times New Roman"/>
          <w:b w:val="0"/>
          <w:bCs w:val="0"/>
          <w:kern w:val="2"/>
          <w:sz w:val="32"/>
          <w:szCs w:val="32"/>
          <w:lang w:val="en-US" w:eastAsia="zh-CN" w:bidi="ar-SA"/>
        </w:rPr>
        <w:t xml:space="preserve"> </w:t>
      </w:r>
    </w:p>
    <w:p>
      <w:pPr>
        <w:keepNext w:val="0"/>
        <w:keepLines w:val="0"/>
        <w:pageBreakBefore w:val="0"/>
        <w:widowControl w:val="0"/>
        <w:kinsoku/>
        <w:wordWrap/>
        <w:overflowPunct/>
        <w:topLinePunct w:val="0"/>
        <w:autoSpaceDE/>
        <w:autoSpaceDN/>
        <w:bidi w:val="0"/>
        <w:adjustRightInd/>
        <w:snapToGrid/>
        <w:spacing w:line="580" w:lineRule="exact"/>
        <w:ind w:left="0" w:leftChars="0"/>
        <w:jc w:val="both"/>
        <w:textAlignment w:val="auto"/>
        <w:rPr>
          <w:rFonts w:hint="default" w:ascii="Times New Roman" w:hAnsi="Times New Roman" w:cs="Times New Roman"/>
          <w:lang w:val="en-US" w:eastAsia="zh-CN"/>
        </w:rPr>
      </w:pPr>
    </w:p>
    <w:p>
      <w:pPr>
        <w:pStyle w:val="2"/>
        <w:keepNext w:val="0"/>
        <w:keepLines w:val="0"/>
        <w:pageBreakBefore w:val="0"/>
        <w:widowControl w:val="0"/>
        <w:kinsoku/>
        <w:wordWrap/>
        <w:overflowPunct/>
        <w:topLinePunct w:val="0"/>
        <w:autoSpaceDE/>
        <w:autoSpaceDN/>
        <w:bidi w:val="0"/>
        <w:adjustRightInd/>
        <w:snapToGrid/>
        <w:spacing w:before="0" w:after="0" w:line="100" w:lineRule="exact"/>
        <w:textAlignment w:val="auto"/>
        <w:rPr>
          <w:rFonts w:hint="default" w:ascii="Times New Roman" w:hAnsi="Times New Roman" w:cs="Times New Roman"/>
          <w:lang w:val="en-US" w:eastAsia="zh-CN"/>
        </w:rPr>
      </w:pPr>
    </w:p>
    <w:p>
      <w:pPr>
        <w:rPr>
          <w:rFonts w:hint="default"/>
          <w:lang w:val="en-US" w:eastAsia="zh-CN"/>
        </w:rPr>
      </w:pPr>
    </w:p>
    <w:p>
      <w:pPr>
        <w:pStyle w:val="2"/>
        <w:keepNext w:val="0"/>
        <w:keepLines w:val="0"/>
        <w:pageBreakBefore w:val="0"/>
        <w:widowControl w:val="0"/>
        <w:kinsoku/>
        <w:wordWrap/>
        <w:overflowPunct/>
        <w:topLinePunct w:val="0"/>
        <w:autoSpaceDE/>
        <w:autoSpaceDN/>
        <w:bidi w:val="0"/>
        <w:adjustRightInd/>
        <w:snapToGrid/>
        <w:spacing w:before="0" w:after="0" w:line="400" w:lineRule="exact"/>
        <w:jc w:val="both"/>
        <w:textAlignment w:val="auto"/>
        <w:rPr>
          <w:rFonts w:hint="eastAsia" w:ascii="方正仿宋_GBK" w:hAnsi="方正仿宋_GBK" w:eastAsia="方正仿宋_GBK" w:cs="方正仿宋_GBK"/>
          <w:b w:val="0"/>
          <w:bCs w:val="0"/>
          <w:lang w:val="en-US" w:eastAsia="zh-CN"/>
        </w:rPr>
      </w:pPr>
      <w:r>
        <w:rPr>
          <w:rFonts w:hint="eastAsia" w:ascii="Times New Roman" w:hAnsi="Times New Roman" w:cs="Times New Roman"/>
          <w:lang w:val="en-US" w:eastAsia="zh-CN"/>
        </w:rPr>
        <w:t xml:space="preserve">                           </w:t>
      </w:r>
      <w:r>
        <w:rPr>
          <w:rFonts w:hint="eastAsia" w:ascii="方正仿宋_GBK" w:hAnsi="方正仿宋_GBK" w:eastAsia="方正仿宋_GBK" w:cs="方正仿宋_GBK"/>
          <w:b w:val="0"/>
          <w:bCs w:val="0"/>
          <w:lang w:val="en-US" w:eastAsia="zh-CN"/>
        </w:rPr>
        <w:t xml:space="preserve">      2021年9月17日</w:t>
      </w:r>
    </w:p>
    <w:p>
      <w:pPr>
        <w:pStyle w:val="2"/>
        <w:keepNext w:val="0"/>
        <w:keepLines w:val="0"/>
        <w:pageBreakBefore w:val="0"/>
        <w:widowControl w:val="0"/>
        <w:kinsoku/>
        <w:wordWrap/>
        <w:overflowPunct/>
        <w:topLinePunct w:val="0"/>
        <w:autoSpaceDE/>
        <w:autoSpaceDN/>
        <w:bidi w:val="0"/>
        <w:adjustRightInd/>
        <w:snapToGrid/>
        <w:spacing w:before="0" w:after="0" w:line="400" w:lineRule="exact"/>
        <w:jc w:val="both"/>
        <w:textAlignment w:val="auto"/>
        <w:rPr>
          <w:rFonts w:hint="default" w:ascii="方正仿宋_GBK" w:hAnsi="方正仿宋_GBK" w:eastAsia="方正仿宋_GBK" w:cs="方正仿宋_GBK"/>
          <w:b w:val="0"/>
          <w:bCs w:val="0"/>
          <w:lang w:val="en-US" w:eastAsia="zh-CN"/>
        </w:rPr>
      </w:pPr>
      <w:r>
        <w:rPr>
          <w:rFonts w:hint="eastAsia" w:ascii="方正仿宋_GBK" w:hAnsi="方正仿宋_GBK" w:eastAsia="方正仿宋_GBK" w:cs="方正仿宋_GBK"/>
          <w:b w:val="0"/>
          <w:bCs w:val="0"/>
          <w:lang w:val="en-US" w:eastAsia="zh-CN"/>
        </w:rPr>
        <w:t xml:space="preserve">    （此件公开发布）</w:t>
      </w:r>
    </w:p>
    <w:p>
      <w:pPr>
        <w:pStyle w:val="3"/>
        <w:pageBreakBefore w:val="0"/>
        <w:kinsoku/>
        <w:wordWrap/>
        <w:topLinePunct w:val="0"/>
        <w:autoSpaceDE/>
        <w:autoSpaceDN/>
        <w:bidi w:val="0"/>
        <w:spacing w:line="240" w:lineRule="atLeast"/>
        <w:rPr>
          <w:rFonts w:hint="default" w:ascii="Times New Roman" w:hAnsi="Times New Roman" w:cs="Times New Roman"/>
          <w:lang w:val="en-US" w:eastAsia="zh-CN"/>
        </w:rPr>
        <w:sectPr>
          <w:footerReference r:id="rId5" w:type="default"/>
          <w:footerReference r:id="rId6" w:type="even"/>
          <w:pgSz w:w="11906" w:h="16838"/>
          <w:pgMar w:top="2098" w:right="1474" w:bottom="1701" w:left="1474" w:header="851" w:footer="1417" w:gutter="0"/>
          <w:paperSrc/>
          <w:pgNumType w:fmt="numberInDash"/>
          <w:cols w:space="720" w:num="1"/>
          <w:rtlGutter w:val="0"/>
          <w:docGrid w:type="lines" w:linePitch="312" w:charSpace="0"/>
        </w:sectPr>
      </w:pPr>
    </w:p>
    <w:p>
      <w:pPr>
        <w:rPr>
          <w:rFonts w:hint="eastAsia" w:eastAsia="仿宋_GB2312"/>
          <w:sz w:val="32"/>
          <w:lang w:eastAsia="zh-CN"/>
        </w:rPr>
      </w:pPr>
      <w:r>
        <w:rPr>
          <w:rFonts w:hint="eastAsia" w:eastAsia="仿宋_GB2312"/>
          <w:sz w:val="32"/>
          <w:lang w:eastAsia="zh-CN"/>
        </w:rPr>
        <w:drawing>
          <wp:inline distT="0" distB="0" distL="114300" distR="114300">
            <wp:extent cx="5623560" cy="8190230"/>
            <wp:effectExtent l="0" t="0" r="1270" b="15240"/>
            <wp:docPr id="1" name="图片 2" descr="内政发9号(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内政发9号(B)-1"/>
                    <pic:cNvPicPr>
                      <a:picLocks noChangeAspect="1"/>
                    </pic:cNvPicPr>
                  </pic:nvPicPr>
                  <pic:blipFill>
                    <a:blip r:embed="rId12"/>
                    <a:stretch>
                      <a:fillRect/>
                    </a:stretch>
                  </pic:blipFill>
                  <pic:spPr>
                    <a:xfrm rot="5400000">
                      <a:off x="0" y="0"/>
                      <a:ext cx="5623560" cy="8190230"/>
                    </a:xfrm>
                    <a:prstGeom prst="rect">
                      <a:avLst/>
                    </a:prstGeom>
                    <a:noFill/>
                    <a:ln w="9525">
                      <a:noFill/>
                    </a:ln>
                  </pic:spPr>
                </pic:pic>
              </a:graphicData>
            </a:graphic>
          </wp:inline>
        </w:drawing>
      </w:r>
    </w:p>
    <w:p>
      <w:pPr>
        <w:rPr>
          <w:rFonts w:hint="eastAsia" w:eastAsia="仿宋_GB2312"/>
          <w:sz w:val="32"/>
          <w:lang w:eastAsia="zh-CN"/>
        </w:rPr>
      </w:pPr>
      <w:r>
        <w:rPr>
          <w:rFonts w:hint="eastAsia" w:eastAsia="仿宋_GB2312"/>
          <w:sz w:val="32"/>
          <w:lang w:eastAsia="zh-CN"/>
        </w:rPr>
        <w:drawing>
          <wp:inline distT="0" distB="0" distL="114300" distR="114300">
            <wp:extent cx="5623560" cy="8171815"/>
            <wp:effectExtent l="0" t="0" r="635" b="15240"/>
            <wp:docPr id="2" name="图片 3" descr="内政发9号(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内政发9号(B)-2"/>
                    <pic:cNvPicPr>
                      <a:picLocks noChangeAspect="1"/>
                    </pic:cNvPicPr>
                  </pic:nvPicPr>
                  <pic:blipFill>
                    <a:blip r:embed="rId13"/>
                    <a:stretch>
                      <a:fillRect/>
                    </a:stretch>
                  </pic:blipFill>
                  <pic:spPr>
                    <a:xfrm rot="5400000">
                      <a:off x="0" y="0"/>
                      <a:ext cx="5623560" cy="8171815"/>
                    </a:xfrm>
                    <a:prstGeom prst="rect">
                      <a:avLst/>
                    </a:prstGeom>
                    <a:noFill/>
                    <a:ln w="9525">
                      <a:noFill/>
                    </a:ln>
                  </pic:spPr>
                </pic:pic>
              </a:graphicData>
            </a:graphic>
          </wp:inline>
        </w:drawing>
      </w:r>
    </w:p>
    <w:p>
      <w:pPr>
        <w:rPr>
          <w:rFonts w:hint="eastAsia" w:eastAsia="仿宋_GB2312"/>
          <w:sz w:val="32"/>
          <w:lang w:eastAsia="zh-CN"/>
        </w:rPr>
      </w:pPr>
      <w:r>
        <w:rPr>
          <w:rFonts w:hint="eastAsia" w:eastAsia="仿宋_GB2312"/>
          <w:sz w:val="32"/>
          <w:lang w:eastAsia="zh-CN"/>
        </w:rPr>
        <w:drawing>
          <wp:inline distT="0" distB="0" distL="114300" distR="114300">
            <wp:extent cx="5635625" cy="8171815"/>
            <wp:effectExtent l="0" t="0" r="635" b="3175"/>
            <wp:docPr id="3" name="图片 4" descr="内政发9号(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内政发9号(B)-3"/>
                    <pic:cNvPicPr>
                      <a:picLocks noChangeAspect="1"/>
                    </pic:cNvPicPr>
                  </pic:nvPicPr>
                  <pic:blipFill>
                    <a:blip r:embed="rId14"/>
                    <a:stretch>
                      <a:fillRect/>
                    </a:stretch>
                  </pic:blipFill>
                  <pic:spPr>
                    <a:xfrm rot="5400000">
                      <a:off x="0" y="0"/>
                      <a:ext cx="5635625" cy="8171815"/>
                    </a:xfrm>
                    <a:prstGeom prst="rect">
                      <a:avLst/>
                    </a:prstGeom>
                    <a:noFill/>
                    <a:ln w="9525">
                      <a:noFill/>
                    </a:ln>
                  </pic:spPr>
                </pic:pic>
              </a:graphicData>
            </a:graphic>
          </wp:inline>
        </w:drawing>
      </w:r>
    </w:p>
    <w:p>
      <w:pPr>
        <w:rPr>
          <w:rFonts w:hint="eastAsia" w:eastAsia="仿宋_GB2312"/>
          <w:sz w:val="32"/>
          <w:lang w:eastAsia="zh-CN"/>
        </w:rPr>
      </w:pPr>
      <w:r>
        <w:rPr>
          <w:rFonts w:hint="eastAsia" w:eastAsia="仿宋_GB2312"/>
          <w:sz w:val="32"/>
          <w:lang w:eastAsia="zh-CN"/>
        </w:rPr>
        <w:drawing>
          <wp:inline distT="0" distB="0" distL="114300" distR="114300">
            <wp:extent cx="5623560" cy="8162290"/>
            <wp:effectExtent l="0" t="0" r="10160" b="15240"/>
            <wp:docPr id="4" name="图片 5" descr="内政发9号(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内政发9号(B)-4"/>
                    <pic:cNvPicPr>
                      <a:picLocks noChangeAspect="1"/>
                    </pic:cNvPicPr>
                  </pic:nvPicPr>
                  <pic:blipFill>
                    <a:blip r:embed="rId15"/>
                    <a:stretch>
                      <a:fillRect/>
                    </a:stretch>
                  </pic:blipFill>
                  <pic:spPr>
                    <a:xfrm rot="5400000">
                      <a:off x="0" y="0"/>
                      <a:ext cx="5623560" cy="8162290"/>
                    </a:xfrm>
                    <a:prstGeom prst="rect">
                      <a:avLst/>
                    </a:prstGeom>
                    <a:noFill/>
                    <a:ln w="9525">
                      <a:noFill/>
                    </a:ln>
                  </pic:spPr>
                </pic:pic>
              </a:graphicData>
            </a:graphic>
          </wp:inline>
        </w:drawing>
      </w:r>
    </w:p>
    <w:p>
      <w:pPr>
        <w:pStyle w:val="2"/>
        <w:jc w:val="both"/>
        <w:rPr>
          <w:rFonts w:hint="eastAsia" w:eastAsia="仿宋_GB2312"/>
          <w:sz w:val="32"/>
          <w:lang w:eastAsia="zh-CN"/>
        </w:rPr>
      </w:pPr>
      <w:r>
        <w:rPr>
          <w:rFonts w:hint="eastAsia" w:eastAsia="仿宋_GB2312"/>
          <w:sz w:val="32"/>
          <w:lang w:eastAsia="zh-CN"/>
        </w:rPr>
        <w:drawing>
          <wp:inline distT="0" distB="0" distL="114300" distR="114300">
            <wp:extent cx="5635625" cy="8190230"/>
            <wp:effectExtent l="0" t="0" r="1270" b="3175"/>
            <wp:docPr id="5" name="图片 6" descr="内政发9号(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descr="内政发9号(B)-5"/>
                    <pic:cNvPicPr>
                      <a:picLocks noChangeAspect="1"/>
                    </pic:cNvPicPr>
                  </pic:nvPicPr>
                  <pic:blipFill>
                    <a:blip r:embed="rId16"/>
                    <a:stretch>
                      <a:fillRect/>
                    </a:stretch>
                  </pic:blipFill>
                  <pic:spPr>
                    <a:xfrm rot="5400000">
                      <a:off x="0" y="0"/>
                      <a:ext cx="5635625" cy="8190230"/>
                    </a:xfrm>
                    <a:prstGeom prst="rect">
                      <a:avLst/>
                    </a:prstGeom>
                    <a:noFill/>
                    <a:ln w="9525">
                      <a:noFill/>
                    </a:ln>
                  </pic:spPr>
                </pic:pic>
              </a:graphicData>
            </a:graphic>
          </wp:inline>
        </w:drawing>
      </w:r>
    </w:p>
    <w:p>
      <w:pPr>
        <w:rPr>
          <w:rFonts w:hint="eastAsia" w:eastAsia="仿宋_GB2312"/>
          <w:sz w:val="32"/>
          <w:lang w:eastAsia="zh-CN"/>
        </w:rPr>
      </w:pPr>
      <w:r>
        <w:rPr>
          <w:rFonts w:hint="eastAsia" w:eastAsia="仿宋_GB2312"/>
          <w:sz w:val="32"/>
          <w:lang w:eastAsia="zh-CN"/>
        </w:rPr>
        <w:drawing>
          <wp:inline distT="0" distB="0" distL="114300" distR="114300">
            <wp:extent cx="5623560" cy="8162290"/>
            <wp:effectExtent l="0" t="0" r="10160" b="15240"/>
            <wp:docPr id="13" name="图片 18" descr="内政发9号(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8" descr="内政发9号(B)-6"/>
                    <pic:cNvPicPr>
                      <a:picLocks noChangeAspect="1"/>
                    </pic:cNvPicPr>
                  </pic:nvPicPr>
                  <pic:blipFill>
                    <a:blip r:embed="rId17"/>
                    <a:stretch>
                      <a:fillRect/>
                    </a:stretch>
                  </pic:blipFill>
                  <pic:spPr>
                    <a:xfrm rot="5400000">
                      <a:off x="0" y="0"/>
                      <a:ext cx="5623560" cy="8162290"/>
                    </a:xfrm>
                    <a:prstGeom prst="rect">
                      <a:avLst/>
                    </a:prstGeom>
                    <a:noFill/>
                    <a:ln w="9525">
                      <a:noFill/>
                    </a:ln>
                  </pic:spPr>
                </pic:pic>
              </a:graphicData>
            </a:graphic>
          </wp:inline>
        </w:drawing>
      </w:r>
    </w:p>
    <w:p>
      <w:pPr>
        <w:pStyle w:val="2"/>
        <w:jc w:val="both"/>
        <w:rPr>
          <w:rFonts w:hint="eastAsia" w:eastAsia="仿宋_GB2312"/>
          <w:sz w:val="32"/>
          <w:lang w:eastAsia="zh-CN"/>
        </w:rPr>
      </w:pPr>
      <w:r>
        <w:rPr>
          <w:rFonts w:hint="eastAsia" w:eastAsia="仿宋_GB2312"/>
          <w:sz w:val="32"/>
          <w:lang w:eastAsia="zh-CN"/>
        </w:rPr>
        <w:drawing>
          <wp:inline distT="0" distB="0" distL="114300" distR="114300">
            <wp:extent cx="5662930" cy="8162290"/>
            <wp:effectExtent l="0" t="0" r="10160" b="13970"/>
            <wp:docPr id="14" name="图片 19" descr="内政发9号(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9" descr="内政发9号(B)-7"/>
                    <pic:cNvPicPr>
                      <a:picLocks noChangeAspect="1"/>
                    </pic:cNvPicPr>
                  </pic:nvPicPr>
                  <pic:blipFill>
                    <a:blip r:embed="rId18"/>
                    <a:stretch>
                      <a:fillRect/>
                    </a:stretch>
                  </pic:blipFill>
                  <pic:spPr>
                    <a:xfrm rot="5400000">
                      <a:off x="0" y="0"/>
                      <a:ext cx="5662930" cy="8162290"/>
                    </a:xfrm>
                    <a:prstGeom prst="rect">
                      <a:avLst/>
                    </a:prstGeom>
                    <a:noFill/>
                    <a:ln w="9525">
                      <a:noFill/>
                    </a:ln>
                  </pic:spPr>
                </pic:pic>
              </a:graphicData>
            </a:graphic>
          </wp:inline>
        </w:drawing>
      </w:r>
    </w:p>
    <w:p>
      <w:pPr>
        <w:rPr>
          <w:rFonts w:hint="eastAsia" w:eastAsia="仿宋_GB2312"/>
          <w:sz w:val="32"/>
          <w:lang w:eastAsia="zh-CN"/>
        </w:rPr>
      </w:pPr>
      <w:r>
        <w:rPr>
          <w:rFonts w:hint="eastAsia" w:eastAsia="仿宋_GB2312"/>
          <w:sz w:val="32"/>
          <w:lang w:eastAsia="zh-CN"/>
        </w:rPr>
        <w:drawing>
          <wp:inline distT="0" distB="0" distL="114300" distR="114300">
            <wp:extent cx="5650865" cy="8180705"/>
            <wp:effectExtent l="0" t="0" r="10795" b="6985"/>
            <wp:docPr id="6" name="图片 9" descr="内政发9号(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descr="内政发9号(B)-8"/>
                    <pic:cNvPicPr>
                      <a:picLocks noChangeAspect="1"/>
                    </pic:cNvPicPr>
                  </pic:nvPicPr>
                  <pic:blipFill>
                    <a:blip r:embed="rId19"/>
                    <a:stretch>
                      <a:fillRect/>
                    </a:stretch>
                  </pic:blipFill>
                  <pic:spPr>
                    <a:xfrm rot="5400000">
                      <a:off x="0" y="0"/>
                      <a:ext cx="5650865" cy="8180705"/>
                    </a:xfrm>
                    <a:prstGeom prst="rect">
                      <a:avLst/>
                    </a:prstGeom>
                    <a:noFill/>
                    <a:ln w="9525">
                      <a:noFill/>
                    </a:ln>
                  </pic:spPr>
                </pic:pic>
              </a:graphicData>
            </a:graphic>
          </wp:inline>
        </w:drawing>
      </w:r>
    </w:p>
    <w:p>
      <w:pPr>
        <w:pStyle w:val="2"/>
        <w:jc w:val="both"/>
        <w:rPr>
          <w:rFonts w:hint="eastAsia" w:eastAsia="仿宋_GB2312"/>
          <w:sz w:val="32"/>
          <w:lang w:eastAsia="zh-CN"/>
        </w:rPr>
      </w:pPr>
      <w:r>
        <w:rPr>
          <w:rFonts w:hint="eastAsia" w:eastAsia="仿宋_GB2312"/>
          <w:sz w:val="32"/>
          <w:lang w:eastAsia="zh-CN"/>
        </w:rPr>
        <w:drawing>
          <wp:inline distT="0" distB="0" distL="114300" distR="114300">
            <wp:extent cx="5662930" cy="8171815"/>
            <wp:effectExtent l="0" t="0" r="635" b="13970"/>
            <wp:docPr id="7" name="图片 17" descr="内政发9号(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7" descr="内政发9号(B)-9"/>
                    <pic:cNvPicPr>
                      <a:picLocks noChangeAspect="1"/>
                    </pic:cNvPicPr>
                  </pic:nvPicPr>
                  <pic:blipFill>
                    <a:blip r:embed="rId20"/>
                    <a:stretch>
                      <a:fillRect/>
                    </a:stretch>
                  </pic:blipFill>
                  <pic:spPr>
                    <a:xfrm rot="5400000">
                      <a:off x="0" y="0"/>
                      <a:ext cx="5662930" cy="8171815"/>
                    </a:xfrm>
                    <a:prstGeom prst="rect">
                      <a:avLst/>
                    </a:prstGeom>
                    <a:noFill/>
                    <a:ln w="9525">
                      <a:noFill/>
                    </a:ln>
                  </pic:spPr>
                </pic:pic>
              </a:graphicData>
            </a:graphic>
          </wp:inline>
        </w:drawing>
      </w:r>
    </w:p>
    <w:p>
      <w:pPr>
        <w:rPr>
          <w:rFonts w:hint="eastAsia" w:eastAsia="仿宋_GB2312"/>
          <w:sz w:val="32"/>
          <w:lang w:eastAsia="zh-CN"/>
        </w:rPr>
      </w:pPr>
      <w:r>
        <w:rPr>
          <w:rFonts w:hint="eastAsia" w:eastAsia="仿宋_GB2312"/>
          <w:sz w:val="32"/>
          <w:lang w:eastAsia="zh-CN"/>
        </w:rPr>
        <w:drawing>
          <wp:inline distT="0" distB="0" distL="114300" distR="114300">
            <wp:extent cx="5684520" cy="8190230"/>
            <wp:effectExtent l="0" t="0" r="1270" b="11430"/>
            <wp:docPr id="8" name="图片 11" descr="内政发9号(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descr="内政发9号(B)-10"/>
                    <pic:cNvPicPr>
                      <a:picLocks noChangeAspect="1"/>
                    </pic:cNvPicPr>
                  </pic:nvPicPr>
                  <pic:blipFill>
                    <a:blip r:embed="rId21"/>
                    <a:stretch>
                      <a:fillRect/>
                    </a:stretch>
                  </pic:blipFill>
                  <pic:spPr>
                    <a:xfrm rot="5400000">
                      <a:off x="0" y="0"/>
                      <a:ext cx="5684520" cy="8190230"/>
                    </a:xfrm>
                    <a:prstGeom prst="rect">
                      <a:avLst/>
                    </a:prstGeom>
                    <a:noFill/>
                    <a:ln w="9525">
                      <a:noFill/>
                    </a:ln>
                  </pic:spPr>
                </pic:pic>
              </a:graphicData>
            </a:graphic>
          </wp:inline>
        </w:drawing>
      </w:r>
    </w:p>
    <w:p>
      <w:pPr>
        <w:pStyle w:val="2"/>
        <w:jc w:val="both"/>
        <w:rPr>
          <w:rFonts w:hint="eastAsia" w:eastAsia="仿宋_GB2312"/>
          <w:sz w:val="32"/>
          <w:lang w:eastAsia="zh-CN"/>
        </w:rPr>
      </w:pPr>
      <w:r>
        <w:rPr>
          <w:rFonts w:hint="eastAsia" w:eastAsia="仿宋_GB2312"/>
          <w:sz w:val="32"/>
          <w:lang w:eastAsia="zh-CN"/>
        </w:rPr>
        <w:drawing>
          <wp:inline distT="0" distB="0" distL="114300" distR="114300">
            <wp:extent cx="5662930" cy="8171815"/>
            <wp:effectExtent l="0" t="0" r="635" b="13970"/>
            <wp:docPr id="9" name="图片 12" descr="内政发9号(B)-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 descr="内政发9号(B)-11"/>
                    <pic:cNvPicPr>
                      <a:picLocks noChangeAspect="1"/>
                    </pic:cNvPicPr>
                  </pic:nvPicPr>
                  <pic:blipFill>
                    <a:blip r:embed="rId22"/>
                    <a:stretch>
                      <a:fillRect/>
                    </a:stretch>
                  </pic:blipFill>
                  <pic:spPr>
                    <a:xfrm rot="5400000">
                      <a:off x="0" y="0"/>
                      <a:ext cx="5662930" cy="8171815"/>
                    </a:xfrm>
                    <a:prstGeom prst="rect">
                      <a:avLst/>
                    </a:prstGeom>
                    <a:noFill/>
                    <a:ln w="9525">
                      <a:noFill/>
                    </a:ln>
                  </pic:spPr>
                </pic:pic>
              </a:graphicData>
            </a:graphic>
          </wp:inline>
        </w:drawing>
      </w:r>
    </w:p>
    <w:p>
      <w:pPr>
        <w:rPr>
          <w:rFonts w:hint="eastAsia" w:eastAsia="仿宋_GB2312"/>
          <w:sz w:val="32"/>
          <w:lang w:eastAsia="zh-CN"/>
        </w:rPr>
      </w:pPr>
      <w:r>
        <w:rPr>
          <w:rFonts w:hint="eastAsia" w:eastAsia="仿宋_GB2312"/>
          <w:sz w:val="32"/>
          <w:lang w:eastAsia="zh-CN"/>
        </w:rPr>
        <w:drawing>
          <wp:inline distT="0" distB="0" distL="114300" distR="114300">
            <wp:extent cx="5650865" cy="8153400"/>
            <wp:effectExtent l="0" t="0" r="0" b="6985"/>
            <wp:docPr id="10" name="图片 13" descr="内政发9号(B)-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3" descr="内政发9号(B)-12"/>
                    <pic:cNvPicPr>
                      <a:picLocks noChangeAspect="1"/>
                    </pic:cNvPicPr>
                  </pic:nvPicPr>
                  <pic:blipFill>
                    <a:blip r:embed="rId23"/>
                    <a:stretch>
                      <a:fillRect/>
                    </a:stretch>
                  </pic:blipFill>
                  <pic:spPr>
                    <a:xfrm rot="5400000">
                      <a:off x="0" y="0"/>
                      <a:ext cx="5650865" cy="8153400"/>
                    </a:xfrm>
                    <a:prstGeom prst="rect">
                      <a:avLst/>
                    </a:prstGeom>
                    <a:noFill/>
                    <a:ln w="9525">
                      <a:noFill/>
                    </a:ln>
                  </pic:spPr>
                </pic:pic>
              </a:graphicData>
            </a:graphic>
          </wp:inline>
        </w:drawing>
      </w:r>
    </w:p>
    <w:p>
      <w:pPr>
        <w:pStyle w:val="2"/>
        <w:jc w:val="both"/>
        <w:rPr>
          <w:rFonts w:hint="eastAsia" w:eastAsia="仿宋_GB2312"/>
          <w:sz w:val="32"/>
          <w:lang w:eastAsia="zh-CN"/>
        </w:rPr>
      </w:pPr>
      <w:r>
        <w:rPr>
          <w:rFonts w:hint="eastAsia" w:eastAsia="仿宋_GB2312"/>
          <w:sz w:val="32"/>
          <w:lang w:eastAsia="zh-CN"/>
        </w:rPr>
        <w:drawing>
          <wp:inline distT="0" distB="0" distL="114300" distR="114300">
            <wp:extent cx="5683250" cy="8121015"/>
            <wp:effectExtent l="0" t="0" r="13335" b="12700"/>
            <wp:docPr id="11" name="图片 14" descr="内政发9号(B)-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 descr="内政发9号(B)-13"/>
                    <pic:cNvPicPr>
                      <a:picLocks noChangeAspect="1"/>
                    </pic:cNvPicPr>
                  </pic:nvPicPr>
                  <pic:blipFill>
                    <a:blip r:embed="rId24"/>
                    <a:stretch>
                      <a:fillRect/>
                    </a:stretch>
                  </pic:blipFill>
                  <pic:spPr>
                    <a:xfrm rot="5400000">
                      <a:off x="0" y="0"/>
                      <a:ext cx="5683250" cy="8121015"/>
                    </a:xfrm>
                    <a:prstGeom prst="rect">
                      <a:avLst/>
                    </a:prstGeom>
                    <a:noFill/>
                    <a:ln w="9525">
                      <a:noFill/>
                    </a:ln>
                  </pic:spPr>
                </pic:pic>
              </a:graphicData>
            </a:graphic>
          </wp:inline>
        </w:drawing>
      </w:r>
    </w:p>
    <w:p>
      <w:pPr>
        <w:rPr>
          <w:rFonts w:hint="eastAsia" w:eastAsia="仿宋_GB2312"/>
          <w:sz w:val="32"/>
          <w:lang w:eastAsia="zh-CN"/>
        </w:rPr>
      </w:pPr>
      <w:r>
        <w:rPr>
          <w:rFonts w:hint="eastAsia" w:eastAsia="仿宋_GB2312"/>
          <w:sz w:val="32"/>
          <w:lang w:eastAsia="zh-CN"/>
        </w:rPr>
        <w:drawing>
          <wp:inline distT="0" distB="0" distL="114300" distR="114300">
            <wp:extent cx="5650865" cy="8134985"/>
            <wp:effectExtent l="0" t="0" r="18415" b="6985"/>
            <wp:docPr id="15" name="图片 20" descr="内政发9号(B)-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0" descr="内政发9号(B)-14"/>
                    <pic:cNvPicPr>
                      <a:picLocks noChangeAspect="1"/>
                    </pic:cNvPicPr>
                  </pic:nvPicPr>
                  <pic:blipFill>
                    <a:blip r:embed="rId25"/>
                    <a:stretch>
                      <a:fillRect/>
                    </a:stretch>
                  </pic:blipFill>
                  <pic:spPr>
                    <a:xfrm rot="5400000">
                      <a:off x="0" y="0"/>
                      <a:ext cx="5650865" cy="8134985"/>
                    </a:xfrm>
                    <a:prstGeom prst="rect">
                      <a:avLst/>
                    </a:prstGeom>
                    <a:noFill/>
                    <a:ln w="9525">
                      <a:noFill/>
                    </a:ln>
                  </pic:spPr>
                </pic:pic>
              </a:graphicData>
            </a:graphic>
          </wp:inline>
        </w:drawing>
      </w:r>
    </w:p>
    <w:p>
      <w:pPr>
        <w:pStyle w:val="2"/>
        <w:jc w:val="both"/>
        <w:rPr>
          <w:rFonts w:hint="eastAsia" w:eastAsia="仿宋_GB2312"/>
          <w:sz w:val="32"/>
          <w:lang w:eastAsia="zh-CN"/>
        </w:rPr>
      </w:pPr>
      <w:r>
        <w:rPr>
          <w:rFonts w:hint="eastAsia" w:eastAsia="仿宋_GB2312"/>
          <w:sz w:val="32"/>
          <w:lang w:eastAsia="zh-CN"/>
        </w:rPr>
        <w:drawing>
          <wp:inline distT="0" distB="0" distL="114300" distR="114300">
            <wp:extent cx="5687695" cy="8154035"/>
            <wp:effectExtent l="0" t="0" r="18415" b="8255"/>
            <wp:docPr id="12" name="图片 16" descr="内政发9号(B)-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6" descr="内政发9号(B)-15"/>
                    <pic:cNvPicPr>
                      <a:picLocks noChangeAspect="1"/>
                    </pic:cNvPicPr>
                  </pic:nvPicPr>
                  <pic:blipFill>
                    <a:blip r:embed="rId26"/>
                    <a:stretch>
                      <a:fillRect/>
                    </a:stretch>
                  </pic:blipFill>
                  <pic:spPr>
                    <a:xfrm rot="5400000">
                      <a:off x="0" y="0"/>
                      <a:ext cx="5687695" cy="8154035"/>
                    </a:xfrm>
                    <a:prstGeom prst="rect">
                      <a:avLst/>
                    </a:prstGeom>
                    <a:noFill/>
                    <a:ln w="9525">
                      <a:noFill/>
                    </a:ln>
                  </pic:spPr>
                </pic:pic>
              </a:graphicData>
            </a:graphic>
          </wp:inline>
        </w:drawing>
      </w:r>
    </w:p>
    <w:p>
      <w:pPr>
        <w:rPr>
          <w:rFonts w:hint="eastAsia" w:eastAsia="仿宋_GB2312"/>
          <w:sz w:val="32"/>
        </w:rPr>
      </w:pPr>
    </w:p>
    <w:p>
      <w:pPr>
        <w:rPr>
          <w:rFonts w:hint="eastAsia" w:eastAsia="仿宋_GB2312"/>
          <w:sz w:val="32"/>
        </w:rPr>
      </w:pPr>
    </w:p>
    <w:p>
      <w:pPr>
        <w:pStyle w:val="2"/>
        <w:rPr>
          <w:rFonts w:hint="eastAsia" w:eastAsia="仿宋_GB2312"/>
          <w:sz w:val="32"/>
        </w:rPr>
      </w:pPr>
    </w:p>
    <w:p>
      <w:pPr>
        <w:rPr>
          <w:rFonts w:hint="eastAsia" w:eastAsia="仿宋_GB2312"/>
          <w:sz w:val="32"/>
        </w:rPr>
      </w:pPr>
    </w:p>
    <w:p>
      <w:pPr>
        <w:pStyle w:val="2"/>
        <w:rPr>
          <w:rFonts w:hint="eastAsia" w:eastAsia="仿宋_GB2312"/>
          <w:sz w:val="32"/>
        </w:rPr>
      </w:pPr>
    </w:p>
    <w:p>
      <w:pPr>
        <w:rPr>
          <w:rFonts w:hint="eastAsia" w:eastAsia="仿宋_GB2312"/>
          <w:sz w:val="32"/>
        </w:rPr>
      </w:pPr>
    </w:p>
    <w:p>
      <w:pPr>
        <w:pStyle w:val="2"/>
        <w:rPr>
          <w:rFonts w:hint="eastAsia" w:eastAsia="仿宋_GB2312"/>
          <w:sz w:val="32"/>
        </w:rPr>
      </w:pPr>
    </w:p>
    <w:p>
      <w:pPr>
        <w:rPr>
          <w:rFonts w:hint="eastAsia"/>
        </w:rPr>
      </w:pPr>
    </w:p>
    <w:p>
      <w:pPr>
        <w:pStyle w:val="2"/>
        <w:keepNext w:val="0"/>
        <w:keepLines w:val="0"/>
        <w:pageBreakBefore w:val="0"/>
        <w:widowControl w:val="0"/>
        <w:kinsoku/>
        <w:wordWrap/>
        <w:overflowPunct/>
        <w:topLinePunct w:val="0"/>
        <w:autoSpaceDE/>
        <w:autoSpaceDN/>
        <w:bidi w:val="0"/>
        <w:adjustRightInd/>
        <w:snapToGrid/>
        <w:spacing w:before="0" w:after="0" w:line="100" w:lineRule="exact"/>
        <w:textAlignment w:val="auto"/>
        <w:rPr>
          <w:rFonts w:hint="eastAsia"/>
        </w:rPr>
      </w:pPr>
    </w:p>
    <w:p>
      <w:pPr>
        <w:pStyle w:val="5"/>
        <w:tabs>
          <w:tab w:val="left" w:pos="7560"/>
        </w:tabs>
        <w:wordWrap w:val="0"/>
        <w:ind w:left="4520" w:leftChars="2058" w:hanging="198" w:hangingChars="62"/>
        <w:jc w:val="right"/>
        <w:rPr>
          <w:rFonts w:hint="eastAsia" w:ascii="黑体" w:eastAsia="黑体"/>
        </w:rPr>
      </w:pPr>
      <w:r>
        <w:rPr>
          <w:rFonts w:hint="eastAsia" w:ascii="黑体" w:eastAsia="黑体"/>
        </w:rPr>
        <w:t xml:space="preserve">        </w:t>
      </w:r>
    </w:p>
    <w:tbl>
      <w:tblPr>
        <w:tblStyle w:val="12"/>
        <w:tblW w:w="9174" w:type="dxa"/>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7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174" w:type="dxa"/>
            <w:vAlign w:val="top"/>
          </w:tcPr>
          <w:p>
            <w:pPr>
              <w:spacing w:line="400" w:lineRule="exact"/>
              <w:ind w:firstLine="280" w:firstLineChars="100"/>
              <w:rPr>
                <w:rFonts w:ascii="仿宋_GB2312" w:eastAsia="仿宋_GB2312"/>
                <w:sz w:val="28"/>
              </w:rPr>
            </w:pPr>
            <w:r>
              <w:rPr>
                <w:rFonts w:hint="eastAsia" w:ascii="仿宋_GB2312" w:eastAsia="仿宋_GB2312"/>
                <w:sz w:val="28"/>
              </w:rPr>
              <w:t>抄送：自治区党委各部门，内蒙古军区，武警内蒙古总队。</w:t>
            </w:r>
          </w:p>
          <w:p>
            <w:pPr>
              <w:spacing w:line="400" w:lineRule="exact"/>
              <w:ind w:firstLine="1148" w:firstLineChars="410"/>
              <w:rPr>
                <w:rFonts w:hint="eastAsia" w:ascii="仿宋_GB2312" w:eastAsia="仿宋_GB2312"/>
                <w:sz w:val="28"/>
                <w:lang w:eastAsia="zh-CN"/>
              </w:rPr>
            </w:pPr>
            <w:r>
              <w:rPr>
                <w:rFonts w:hint="eastAsia" w:ascii="仿宋_GB2312" w:eastAsia="仿宋_GB2312"/>
                <w:sz w:val="28"/>
              </w:rPr>
              <w:t>自治区人大常委会办公厅、政协办公厅，</w:t>
            </w:r>
            <w:r>
              <w:rPr>
                <w:rFonts w:hint="eastAsia" w:ascii="仿宋_GB2312" w:eastAsia="仿宋_GB2312"/>
                <w:sz w:val="28"/>
                <w:lang w:eastAsia="zh-CN"/>
              </w:rPr>
              <w:t>自治区监委，自治区</w:t>
            </w:r>
          </w:p>
          <w:p>
            <w:pPr>
              <w:spacing w:line="400" w:lineRule="exact"/>
              <w:ind w:firstLine="1148" w:firstLineChars="410"/>
              <w:rPr>
                <w:rFonts w:ascii="仿宋_GB2312" w:eastAsia="仿宋_GB2312"/>
                <w:sz w:val="28"/>
              </w:rPr>
            </w:pPr>
            <w:r>
              <w:rPr>
                <w:rFonts w:hint="eastAsia" w:ascii="仿宋_GB2312" w:eastAsia="仿宋_GB2312"/>
                <w:sz w:val="28"/>
              </w:rPr>
              <w:t>高级人民法院，检察院。</w:t>
            </w:r>
          </w:p>
          <w:p>
            <w:pPr>
              <w:spacing w:line="400" w:lineRule="exact"/>
              <w:ind w:firstLine="1148" w:firstLineChars="410"/>
              <w:rPr>
                <w:rFonts w:ascii="仿宋_GB2312" w:eastAsia="仿宋_GB2312"/>
                <w:sz w:val="28"/>
              </w:rPr>
            </w:pPr>
            <w:r>
              <w:rPr>
                <w:rFonts w:hint="eastAsia" w:ascii="仿宋_GB2312" w:eastAsia="仿宋_GB2312"/>
                <w:sz w:val="28"/>
              </w:rPr>
              <w:t>各人民团体，新闻单位。</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174" w:type="dxa"/>
            <w:vAlign w:val="top"/>
          </w:tcPr>
          <w:p>
            <w:pPr>
              <w:ind w:firstLine="280" w:firstLineChars="100"/>
              <w:rPr>
                <w:rFonts w:ascii="仿宋_GB2312" w:eastAsia="仿宋_GB2312"/>
                <w:sz w:val="28"/>
              </w:rPr>
            </w:pPr>
            <w:r>
              <w:rPr>
                <w:rFonts w:hint="eastAsia" w:ascii="仿宋_GB2312" w:eastAsia="仿宋_GB2312"/>
                <w:sz w:val="28"/>
              </w:rPr>
              <w:t>内蒙古自治区人民政府办公厅文电处        202</w:t>
            </w:r>
            <w:r>
              <w:rPr>
                <w:rFonts w:hint="eastAsia" w:ascii="仿宋_GB2312" w:eastAsia="仿宋_GB2312"/>
                <w:sz w:val="28"/>
                <w:lang w:val="en-US" w:eastAsia="zh-CN"/>
              </w:rPr>
              <w:t>1</w:t>
            </w:r>
            <w:r>
              <w:rPr>
                <w:rFonts w:hint="eastAsia" w:ascii="仿宋_GB2312" w:eastAsia="仿宋_GB2312"/>
                <w:sz w:val="28"/>
              </w:rPr>
              <w:t>年</w:t>
            </w:r>
            <w:r>
              <w:rPr>
                <w:rFonts w:hint="eastAsia" w:ascii="仿宋_GB2312" w:eastAsia="仿宋_GB2312"/>
                <w:sz w:val="28"/>
                <w:lang w:val="en-US" w:eastAsia="zh-CN"/>
              </w:rPr>
              <w:t>9</w:t>
            </w:r>
            <w:r>
              <w:rPr>
                <w:rFonts w:hint="eastAsia" w:ascii="仿宋_GB2312" w:eastAsia="仿宋_GB2312"/>
                <w:sz w:val="28"/>
              </w:rPr>
              <w:t>月</w:t>
            </w:r>
            <w:r>
              <w:rPr>
                <w:rFonts w:hint="eastAsia" w:ascii="仿宋_GB2312" w:eastAsia="仿宋_GB2312"/>
                <w:sz w:val="28"/>
                <w:lang w:val="en-US" w:eastAsia="zh-CN"/>
              </w:rPr>
              <w:t>17</w:t>
            </w:r>
            <w:r>
              <w:rPr>
                <w:rFonts w:hint="eastAsia" w:ascii="仿宋_GB2312" w:eastAsia="仿宋_GB2312"/>
                <w:sz w:val="28"/>
              </w:rPr>
              <w:t>日印发</w:t>
            </w:r>
          </w:p>
        </w:tc>
      </w:tr>
    </w:tbl>
    <w:p>
      <w:pPr>
        <w:spacing w:line="20" w:lineRule="exact"/>
        <w:rPr>
          <w:rFonts w:hint="eastAsia"/>
        </w:rPr>
      </w:pPr>
    </w:p>
    <w:sectPr>
      <w:headerReference r:id="rId7" w:type="default"/>
      <w:footerReference r:id="rId9" w:type="default"/>
      <w:headerReference r:id="rId8" w:type="even"/>
      <w:footerReference r:id="rId10" w:type="even"/>
      <w:pgSz w:w="16838" w:h="11906" w:orient="landscape"/>
      <w:pgMar w:top="1474" w:right="2098" w:bottom="1474" w:left="1701" w:header="851" w:footer="1417" w:gutter="0"/>
      <w:paperSrc/>
      <w:pgNumType w:fmt="numberInDash"/>
      <w:cols w:space="720" w:num="1"/>
      <w:rtlGutter w:val="0"/>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uos" w:date="2021-08-11T11:33:00Z" w:initials="u">
    <w:p w14:paraId="644867BF">
      <w:pPr>
        <w:pStyle w:val="4"/>
        <w:rPr>
          <w:rFonts w:hint="eastAsia" w:eastAsia="宋体"/>
          <w:lang w:eastAsia="zh-CN"/>
        </w:rPr>
      </w:pPr>
      <w:r>
        <w:rPr>
          <w:rFonts w:hint="eastAsia"/>
          <w:lang w:eastAsia="zh-CN"/>
        </w:rPr>
        <w:t>业</w:t>
      </w:r>
    </w:p>
  </w:comment>
  <w:comment w:id="1" w:author="uos" w:date="2021-08-11T11:40:00Z" w:initials="u">
    <w:p w14:paraId="1A256B7C">
      <w:pPr>
        <w:pStyle w:val="4"/>
        <w:rPr>
          <w:rFonts w:hint="eastAsia" w:eastAsia="宋体"/>
          <w:lang w:eastAsia="zh-CN"/>
        </w:rPr>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644867BF" w15:done="0"/>
  <w15:commentEx w15:paraId="1A256B7C"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auto"/>
    <w:pitch w:val="default"/>
    <w:sig w:usb0="A00002EF" w:usb1="4000207B" w:usb2="00000000" w:usb3="00000000" w:csb0="2000019F" w:csb1="00000000"/>
  </w:font>
  <w:font w:name="仿宋_GB2312">
    <w:panose1 w:val="02010609030101010101"/>
    <w:charset w:val="86"/>
    <w:family w:val="modern"/>
    <w:pitch w:val="default"/>
    <w:sig w:usb0="00000001" w:usb1="080E0000" w:usb2="00000000" w:usb3="00000000" w:csb0="00040000" w:csb1="00000000"/>
  </w:font>
  <w:font w:name="方正仿宋_GBK">
    <w:panose1 w:val="03000509000000000000"/>
    <w:charset w:val="86"/>
    <w:family w:val="auto"/>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楷体_GB2312">
    <w:altName w:val="楷体"/>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方正小标宋简体">
    <w:panose1 w:val="03000509000000000000"/>
    <w:charset w:val="86"/>
    <w:family w:val="script"/>
    <w:pitch w:val="default"/>
    <w:sig w:usb0="00000001" w:usb1="080E0000" w:usb2="00000000" w:usb3="00000000" w:csb0="00040000" w:csb1="00000000"/>
  </w:font>
  <w:font w:name="方正黑体_GBK">
    <w:altName w:val="Arial Unicode MS"/>
    <w:panose1 w:val="02000000000000000000"/>
    <w:charset w:val="86"/>
    <w:family w:val="auto"/>
    <w:pitch w:val="default"/>
    <w:sig w:usb0="A00002BF" w:usb1="38CF7CFA" w:usb2="00082016" w:usb3="00000000" w:csb0="00040001" w:csb1="00000000"/>
  </w:font>
  <w:font w:name="方正楷体_GBK">
    <w:panose1 w:val="03000509000000000000"/>
    <w:charset w:val="86"/>
    <w:family w:val="auto"/>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Arial Unicode MS">
    <w:panose1 w:val="020B0604020202020204"/>
    <w:charset w:val="86"/>
    <w:family w:val="auto"/>
    <w:pitch w:val="default"/>
    <w:sig w:usb0="FFFFFFFF" w:usb1="E9FFFFFF" w:usb2="0000003F" w:usb3="00000000" w:csb0="603F01FF" w:csb1="FFFF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58240" behindDoc="0" locked="0" layoutInCell="1" allowOverlap="1">
              <wp:simplePos x="0" y="0"/>
              <wp:positionH relativeFrom="margin">
                <wp:align>outside</wp:align>
              </wp:positionH>
              <wp:positionV relativeFrom="paragraph">
                <wp:posOffset>0</wp:posOffset>
              </wp:positionV>
              <wp:extent cx="1828800" cy="1828800"/>
              <wp:effectExtent l="0" t="0" r="0" b="0"/>
              <wp:wrapNone/>
              <wp:docPr id="16"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7"/>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fldChar w:fldCharType="begin"/>
                          </w:r>
                          <w:r>
                            <w:rPr>
                              <w:rFonts w:hint="eastAsia" w:ascii="方正仿宋_GBK" w:hAnsi="方正仿宋_GBK" w:eastAsia="方正仿宋_GBK" w:cs="方正仿宋_GBK"/>
                              <w:sz w:val="28"/>
                              <w:szCs w:val="28"/>
                            </w:rPr>
                            <w:instrText xml:space="preserve"> PAGE  \* MERGEFORMAT </w:instrText>
                          </w:r>
                          <w:r>
                            <w:rPr>
                              <w:rFonts w:hint="eastAsia" w:ascii="方正仿宋_GBK" w:hAnsi="方正仿宋_GBK" w:eastAsia="方正仿宋_GBK" w:cs="方正仿宋_GBK"/>
                              <w:sz w:val="28"/>
                              <w:szCs w:val="28"/>
                            </w:rPr>
                            <w:fldChar w:fldCharType="separate"/>
                          </w:r>
                          <w:r>
                            <w:rPr>
                              <w:rFonts w:hint="eastAsia" w:ascii="方正仿宋_GBK" w:hAnsi="方正仿宋_GBK" w:eastAsia="方正仿宋_GBK" w:cs="方正仿宋_GBK"/>
                              <w:sz w:val="28"/>
                              <w:szCs w:val="28"/>
                            </w:rPr>
                            <w:t>1</w:t>
                          </w:r>
                          <w:r>
                            <w:rPr>
                              <w:rFonts w:hint="eastAsia" w:ascii="方正仿宋_GBK" w:hAnsi="方正仿宋_GBK" w:eastAsia="方正仿宋_GBK" w:cs="方正仿宋_GBK"/>
                              <w:sz w:val="28"/>
                              <w:szCs w:val="28"/>
                            </w:rPr>
                            <w:fldChar w:fldCharType="end"/>
                          </w:r>
                        </w:p>
                      </w:txbxContent>
                    </wps:txbx>
                    <wps:bodyPr vert="horz" wrap="none" lIns="0" tIns="0" rIns="0" bIns="0" anchor="t" upright="0">
                      <a:spAutoFit/>
                    </wps:bodyPr>
                  </wps:wsp>
                </a:graphicData>
              </a:graphic>
            </wp:anchor>
          </w:drawing>
        </mc:Choice>
        <mc:Fallback>
          <w:pict>
            <v:shape id="文本框 3" o:spid="_x0000_s1026" o:spt="202" type="#_x0000_t202" style="position:absolute;left:0pt;margin-top:0pt;height:144pt;width:144pt;mso-position-horizontal:outside;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w02pt8cBAABsAwAADgAAAAAAAAABACAAAAAeAQAAZHJzL2Uyb0RvYy54&#10;bWxQSwUGAAAAAAYABgBZAQAAVwUAAAAA&#10;">
              <v:fill on="f" focussize="0,0"/>
              <v:stroke on="f"/>
              <v:imagedata o:title=""/>
              <o:lock v:ext="edit" aspectratio="f"/>
              <v:textbox inset="0mm,0mm,0mm,0mm" style="mso-fit-shape-to-text:t;">
                <w:txbxContent>
                  <w:p>
                    <w:pPr>
                      <w:pStyle w:val="7"/>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fldChar w:fldCharType="begin"/>
                    </w:r>
                    <w:r>
                      <w:rPr>
                        <w:rFonts w:hint="eastAsia" w:ascii="方正仿宋_GBK" w:hAnsi="方正仿宋_GBK" w:eastAsia="方正仿宋_GBK" w:cs="方正仿宋_GBK"/>
                        <w:sz w:val="28"/>
                        <w:szCs w:val="28"/>
                      </w:rPr>
                      <w:instrText xml:space="preserve"> PAGE  \* MERGEFORMAT </w:instrText>
                    </w:r>
                    <w:r>
                      <w:rPr>
                        <w:rFonts w:hint="eastAsia" w:ascii="方正仿宋_GBK" w:hAnsi="方正仿宋_GBK" w:eastAsia="方正仿宋_GBK" w:cs="方正仿宋_GBK"/>
                        <w:sz w:val="28"/>
                        <w:szCs w:val="28"/>
                      </w:rPr>
                      <w:fldChar w:fldCharType="separate"/>
                    </w:r>
                    <w:r>
                      <w:rPr>
                        <w:rFonts w:hint="eastAsia" w:ascii="方正仿宋_GBK" w:hAnsi="方正仿宋_GBK" w:eastAsia="方正仿宋_GBK" w:cs="方正仿宋_GBK"/>
                        <w:sz w:val="28"/>
                        <w:szCs w:val="28"/>
                      </w:rPr>
                      <w:t>1</w:t>
                    </w:r>
                    <w:r>
                      <w:rPr>
                        <w:rFonts w:hint="eastAsia" w:ascii="方正仿宋_GBK" w:hAnsi="方正仿宋_GBK" w:eastAsia="方正仿宋_GBK" w:cs="方正仿宋_GBK"/>
                        <w:sz w:val="28"/>
                        <w:szCs w:val="2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7"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7"/>
                            <w:rPr>
                              <w:rFonts w:hint="eastAsia" w:ascii="方正仿宋_GBK" w:hAnsi="方正仿宋_GBK" w:eastAsia="方正仿宋_GBK" w:cs="方正仿宋_GBK"/>
                              <w:sz w:val="28"/>
                              <w:szCs w:val="28"/>
                              <w:lang w:eastAsia="zh-CN"/>
                            </w:rPr>
                          </w:pPr>
                          <w:r>
                            <w:rPr>
                              <w:rFonts w:hint="eastAsia" w:ascii="方正仿宋_GBK" w:hAnsi="方正仿宋_GBK" w:eastAsia="方正仿宋_GBK" w:cs="方正仿宋_GBK"/>
                              <w:sz w:val="28"/>
                              <w:szCs w:val="28"/>
                              <w:lang w:eastAsia="zh-CN"/>
                            </w:rPr>
                            <w:fldChar w:fldCharType="begin"/>
                          </w:r>
                          <w:r>
                            <w:rPr>
                              <w:rFonts w:hint="eastAsia" w:ascii="方正仿宋_GBK" w:hAnsi="方正仿宋_GBK" w:eastAsia="方正仿宋_GBK" w:cs="方正仿宋_GBK"/>
                              <w:sz w:val="28"/>
                              <w:szCs w:val="28"/>
                              <w:lang w:eastAsia="zh-CN"/>
                            </w:rPr>
                            <w:instrText xml:space="preserve"> PAGE  \* MERGEFORMAT </w:instrText>
                          </w:r>
                          <w:r>
                            <w:rPr>
                              <w:rFonts w:hint="eastAsia" w:ascii="方正仿宋_GBK" w:hAnsi="方正仿宋_GBK" w:eastAsia="方正仿宋_GBK" w:cs="方正仿宋_GBK"/>
                              <w:sz w:val="28"/>
                              <w:szCs w:val="28"/>
                              <w:lang w:eastAsia="zh-CN"/>
                            </w:rPr>
                            <w:fldChar w:fldCharType="separate"/>
                          </w:r>
                          <w:r>
                            <w:rPr>
                              <w:rFonts w:hint="eastAsia" w:ascii="方正仿宋_GBK" w:hAnsi="方正仿宋_GBK" w:eastAsia="方正仿宋_GBK" w:cs="方正仿宋_GBK"/>
                              <w:sz w:val="28"/>
                              <w:szCs w:val="28"/>
                              <w:lang w:eastAsia="zh-CN"/>
                            </w:rPr>
                            <w:t>- 2 -</w:t>
                          </w:r>
                          <w:r>
                            <w:rPr>
                              <w:rFonts w:hint="eastAsia" w:ascii="方正仿宋_GBK" w:hAnsi="方正仿宋_GBK" w:eastAsia="方正仿宋_GBK" w:cs="方正仿宋_GBK"/>
                              <w:sz w:val="28"/>
                              <w:szCs w:val="28"/>
                              <w:lang w:eastAsia="zh-CN"/>
                            </w:rPr>
                            <w:fldChar w:fldCharType="end"/>
                          </w:r>
                        </w:p>
                      </w:txbxContent>
                    </wps:txbx>
                    <wps:bodyPr vert="horz" wrap="none" lIns="0" tIns="0" rIns="0" bIns="0" anchor="t" upright="0">
                      <a:spAutoFit/>
                    </wps:bodyPr>
                  </wps:wsp>
                </a:graphicData>
              </a:graphic>
            </wp:anchor>
          </w:drawing>
        </mc:Choice>
        <mc:Fallback>
          <w:pict>
            <v:shape id="文本框 3"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a0fZ/McBAABsAwAADgAAAAAAAAABACAAAAAeAQAAZHJzL2Uyb0RvYy54&#10;bWxQSwUGAAAAAAYABgBZAQAAVwUAAAAA&#10;">
              <v:fill on="f" focussize="0,0"/>
              <v:stroke on="f"/>
              <v:imagedata o:title=""/>
              <o:lock v:ext="edit" aspectratio="f"/>
              <v:textbox inset="0mm,0mm,0mm,0mm" style="mso-fit-shape-to-text:t;">
                <w:txbxContent>
                  <w:p>
                    <w:pPr>
                      <w:pStyle w:val="7"/>
                      <w:rPr>
                        <w:rFonts w:hint="eastAsia" w:ascii="方正仿宋_GBK" w:hAnsi="方正仿宋_GBK" w:eastAsia="方正仿宋_GBK" w:cs="方正仿宋_GBK"/>
                        <w:sz w:val="28"/>
                        <w:szCs w:val="28"/>
                        <w:lang w:eastAsia="zh-CN"/>
                      </w:rPr>
                    </w:pPr>
                    <w:r>
                      <w:rPr>
                        <w:rFonts w:hint="eastAsia" w:ascii="方正仿宋_GBK" w:hAnsi="方正仿宋_GBK" w:eastAsia="方正仿宋_GBK" w:cs="方正仿宋_GBK"/>
                        <w:sz w:val="28"/>
                        <w:szCs w:val="28"/>
                        <w:lang w:eastAsia="zh-CN"/>
                      </w:rPr>
                      <w:fldChar w:fldCharType="begin"/>
                    </w:r>
                    <w:r>
                      <w:rPr>
                        <w:rFonts w:hint="eastAsia" w:ascii="方正仿宋_GBK" w:hAnsi="方正仿宋_GBK" w:eastAsia="方正仿宋_GBK" w:cs="方正仿宋_GBK"/>
                        <w:sz w:val="28"/>
                        <w:szCs w:val="28"/>
                        <w:lang w:eastAsia="zh-CN"/>
                      </w:rPr>
                      <w:instrText xml:space="preserve"> PAGE  \* MERGEFORMAT </w:instrText>
                    </w:r>
                    <w:r>
                      <w:rPr>
                        <w:rFonts w:hint="eastAsia" w:ascii="方正仿宋_GBK" w:hAnsi="方正仿宋_GBK" w:eastAsia="方正仿宋_GBK" w:cs="方正仿宋_GBK"/>
                        <w:sz w:val="28"/>
                        <w:szCs w:val="28"/>
                        <w:lang w:eastAsia="zh-CN"/>
                      </w:rPr>
                      <w:fldChar w:fldCharType="separate"/>
                    </w:r>
                    <w:r>
                      <w:rPr>
                        <w:rFonts w:hint="eastAsia" w:ascii="方正仿宋_GBK" w:hAnsi="方正仿宋_GBK" w:eastAsia="方正仿宋_GBK" w:cs="方正仿宋_GBK"/>
                        <w:sz w:val="28"/>
                        <w:szCs w:val="28"/>
                        <w:lang w:eastAsia="zh-CN"/>
                      </w:rPr>
                      <w:t>- 2 -</w:t>
                    </w:r>
                    <w:r>
                      <w:rPr>
                        <w:rFonts w:hint="eastAsia" w:ascii="方正仿宋_GBK" w:hAnsi="方正仿宋_GBK" w:eastAsia="方正仿宋_GBK" w:cs="方正仿宋_GBK"/>
                        <w:sz w:val="28"/>
                        <w:szCs w:val="28"/>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right="360"/>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8"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7"/>
                            <w:rPr>
                              <w:rStyle w:val="11"/>
                              <w:rFonts w:hint="eastAsia" w:ascii="宋体" w:hAnsi="宋体"/>
                              <w:sz w:val="28"/>
                              <w:szCs w:val="28"/>
                            </w:rPr>
                          </w:pPr>
                          <w:r>
                            <w:rPr>
                              <w:rFonts w:hint="eastAsia" w:ascii="宋体" w:hAnsi="宋体"/>
                              <w:sz w:val="28"/>
                              <w:szCs w:val="28"/>
                            </w:rPr>
                            <w:fldChar w:fldCharType="begin"/>
                          </w:r>
                          <w:r>
                            <w:rPr>
                              <w:rStyle w:val="11"/>
                              <w:rFonts w:hint="eastAsia" w:ascii="宋体" w:hAnsi="宋体"/>
                              <w:sz w:val="28"/>
                              <w:szCs w:val="28"/>
                            </w:rPr>
                            <w:instrText xml:space="preserve">PAGE  </w:instrText>
                          </w:r>
                          <w:r>
                            <w:rPr>
                              <w:rFonts w:hint="eastAsia" w:ascii="宋体" w:hAnsi="宋体"/>
                              <w:sz w:val="28"/>
                              <w:szCs w:val="28"/>
                            </w:rPr>
                            <w:fldChar w:fldCharType="separate"/>
                          </w:r>
                          <w:r>
                            <w:rPr>
                              <w:rStyle w:val="11"/>
                              <w:rFonts w:ascii="宋体" w:hAnsi="宋体"/>
                              <w:sz w:val="28"/>
                              <w:szCs w:val="28"/>
                            </w:rPr>
                            <w:t>- 1 -</w:t>
                          </w:r>
                          <w:r>
                            <w:rPr>
                              <w:rFonts w:hint="eastAsia" w:ascii="宋体" w:hAnsi="宋体"/>
                              <w:sz w:val="28"/>
                              <w:szCs w:val="28"/>
                            </w:rPr>
                            <w:fldChar w:fldCharType="end"/>
                          </w:r>
                        </w:p>
                      </w:txbxContent>
                    </wps:txbx>
                    <wps:bodyPr vert="horz" wrap="none" lIns="0" tIns="0" rIns="0" bIns="0" anchor="t" upright="0">
                      <a:spAutoFit/>
                    </wps:bodyPr>
                  </wps:wsp>
                </a:graphicData>
              </a:graphic>
            </wp:anchor>
          </w:drawing>
        </mc:Choice>
        <mc:Fallback>
          <w:pict>
            <v:shape id="文本框 4"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6pebnPAAAABQEAAA8AAAAAAAAAAQAgAAAAIgAAAGRycy9kb3ducmV2LnhtbFBL&#10;AQIUABQAAAAIAIdO4kCLCk8sxgEAAGwDAAAOAAAAAAAAAAEAIAAAAB4BAABkcnMvZTJvRG9jLnht&#10;bFBLBQYAAAAABgAGAFkBAABWBQAAAAA=&#10;">
              <v:fill on="f" focussize="0,0"/>
              <v:stroke on="f"/>
              <v:imagedata o:title=""/>
              <o:lock v:ext="edit" aspectratio="f"/>
              <v:textbox inset="0mm,0mm,0mm,0mm" style="mso-fit-shape-to-text:t;">
                <w:txbxContent>
                  <w:p>
                    <w:pPr>
                      <w:pStyle w:val="7"/>
                      <w:rPr>
                        <w:rStyle w:val="11"/>
                        <w:rFonts w:hint="eastAsia" w:ascii="宋体" w:hAnsi="宋体"/>
                        <w:sz w:val="28"/>
                        <w:szCs w:val="28"/>
                      </w:rPr>
                    </w:pPr>
                    <w:r>
                      <w:rPr>
                        <w:rFonts w:hint="eastAsia" w:ascii="宋体" w:hAnsi="宋体"/>
                        <w:sz w:val="28"/>
                        <w:szCs w:val="28"/>
                      </w:rPr>
                      <w:fldChar w:fldCharType="begin"/>
                    </w:r>
                    <w:r>
                      <w:rPr>
                        <w:rStyle w:val="11"/>
                        <w:rFonts w:hint="eastAsia" w:ascii="宋体" w:hAnsi="宋体"/>
                        <w:sz w:val="28"/>
                        <w:szCs w:val="28"/>
                      </w:rPr>
                      <w:instrText xml:space="preserve">PAGE  </w:instrText>
                    </w:r>
                    <w:r>
                      <w:rPr>
                        <w:rFonts w:hint="eastAsia" w:ascii="宋体" w:hAnsi="宋体"/>
                        <w:sz w:val="28"/>
                        <w:szCs w:val="28"/>
                      </w:rPr>
                      <w:fldChar w:fldCharType="separate"/>
                    </w:r>
                    <w:r>
                      <w:rPr>
                        <w:rStyle w:val="11"/>
                        <w:rFonts w:ascii="宋体" w:hAnsi="宋体"/>
                        <w:sz w:val="28"/>
                        <w:szCs w:val="28"/>
                      </w:rPr>
                      <w:t>- 1 -</w:t>
                    </w:r>
                    <w:r>
                      <w:rPr>
                        <w:rFonts w:hint="eastAsia" w:ascii="宋体" w:hAnsi="宋体"/>
                        <w:sz w:val="28"/>
                        <w:szCs w:val="28"/>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right="360"/>
    </w:pPr>
    <w:r>
      <w:rPr>
        <w:sz w:val="1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19"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7"/>
                            <w:rPr>
                              <w:rStyle w:val="11"/>
                              <w:rFonts w:ascii="宋体" w:hAnsi="宋体"/>
                              <w:sz w:val="28"/>
                              <w:szCs w:val="28"/>
                            </w:rPr>
                          </w:pPr>
                          <w:r>
                            <w:rPr>
                              <w:rFonts w:ascii="宋体" w:hAnsi="宋体"/>
                              <w:sz w:val="28"/>
                              <w:szCs w:val="28"/>
                            </w:rPr>
                            <w:fldChar w:fldCharType="begin"/>
                          </w:r>
                          <w:r>
                            <w:rPr>
                              <w:rStyle w:val="11"/>
                              <w:rFonts w:ascii="宋体" w:hAnsi="宋体"/>
                              <w:sz w:val="28"/>
                              <w:szCs w:val="28"/>
                            </w:rPr>
                            <w:instrText xml:space="preserve">PAGE  </w:instrText>
                          </w:r>
                          <w:r>
                            <w:rPr>
                              <w:rFonts w:ascii="宋体" w:hAnsi="宋体"/>
                              <w:sz w:val="28"/>
                              <w:szCs w:val="28"/>
                            </w:rPr>
                            <w:fldChar w:fldCharType="separate"/>
                          </w:r>
                          <w:r>
                            <w:rPr>
                              <w:rStyle w:val="11"/>
                              <w:rFonts w:ascii="宋体" w:hAnsi="宋体"/>
                              <w:sz w:val="28"/>
                              <w:szCs w:val="28"/>
                            </w:rPr>
                            <w:t>- 2 -</w:t>
                          </w:r>
                          <w:r>
                            <w:rPr>
                              <w:rFonts w:ascii="宋体" w:hAnsi="宋体"/>
                              <w:sz w:val="28"/>
                              <w:szCs w:val="28"/>
                            </w:rPr>
                            <w:fldChar w:fldCharType="end"/>
                          </w:r>
                        </w:p>
                      </w:txbxContent>
                    </wps:txbx>
                    <wps:bodyPr vert="horz" wrap="none" lIns="0" tIns="0" rIns="0" bIns="0" anchor="t" upright="0">
                      <a:spAutoFit/>
                    </wps:bodyPr>
                  </wps:wsp>
                </a:graphicData>
              </a:graphic>
            </wp:anchor>
          </w:drawing>
        </mc:Choice>
        <mc:Fallback>
          <w:pict>
            <v:shape id="文本框 5"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6pebnPAAAABQEAAA8AAAAAAAAAAQAgAAAAIgAAAGRycy9kb3ducmV2LnhtbFBL&#10;AQIUABQAAAAIAIdO4kBGuhUNxgEAAGwDAAAOAAAAAAAAAAEAIAAAAB4BAABkcnMvZTJvRG9jLnht&#10;bFBLBQYAAAAABgAGAFkBAABWBQAAAAA=&#10;">
              <v:fill on="f" focussize="0,0"/>
              <v:stroke on="f"/>
              <v:imagedata o:title=""/>
              <o:lock v:ext="edit" aspectratio="f"/>
              <v:textbox inset="0mm,0mm,0mm,0mm" style="mso-fit-shape-to-text:t;">
                <w:txbxContent>
                  <w:p>
                    <w:pPr>
                      <w:pStyle w:val="7"/>
                      <w:rPr>
                        <w:rStyle w:val="11"/>
                        <w:rFonts w:ascii="宋体" w:hAnsi="宋体"/>
                        <w:sz w:val="28"/>
                        <w:szCs w:val="28"/>
                      </w:rPr>
                    </w:pPr>
                    <w:r>
                      <w:rPr>
                        <w:rFonts w:ascii="宋体" w:hAnsi="宋体"/>
                        <w:sz w:val="28"/>
                        <w:szCs w:val="28"/>
                      </w:rPr>
                      <w:fldChar w:fldCharType="begin"/>
                    </w:r>
                    <w:r>
                      <w:rPr>
                        <w:rStyle w:val="11"/>
                        <w:rFonts w:ascii="宋体" w:hAnsi="宋体"/>
                        <w:sz w:val="28"/>
                        <w:szCs w:val="28"/>
                      </w:rPr>
                      <w:instrText xml:space="preserve">PAGE  </w:instrText>
                    </w:r>
                    <w:r>
                      <w:rPr>
                        <w:rFonts w:ascii="宋体" w:hAnsi="宋体"/>
                        <w:sz w:val="28"/>
                        <w:szCs w:val="28"/>
                      </w:rPr>
                      <w:fldChar w:fldCharType="separate"/>
                    </w:r>
                    <w:r>
                      <w:rPr>
                        <w:rStyle w:val="11"/>
                        <w:rFonts w:ascii="宋体" w:hAnsi="宋体"/>
                        <w:sz w:val="28"/>
                        <w:szCs w:val="28"/>
                      </w:rPr>
                      <w:t>- 2 -</w:t>
                    </w:r>
                    <w:r>
                      <w:rPr>
                        <w:rFonts w:ascii="宋体" w:hAnsi="宋体"/>
                        <w:sz w:val="28"/>
                        <w:szCs w:val="2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FFF2ADD"/>
    <w:multiLevelType w:val="singleLevel"/>
    <w:tmpl w:val="9FFF2ADD"/>
    <w:lvl w:ilvl="0" w:tentative="0">
      <w:start w:val="14"/>
      <w:numFmt w:val="chineseCounting"/>
      <w:suff w:val="nothing"/>
      <w:lvlText w:val="（%1）"/>
      <w:lvlJc w:val="left"/>
      <w:rPr>
        <w:rFonts w:hint="eastAsia"/>
      </w:rPr>
    </w:lvl>
  </w:abstractNum>
  <w:abstractNum w:abstractNumId="1">
    <w:nsid w:val="AEB0FE4C"/>
    <w:multiLevelType w:val="singleLevel"/>
    <w:tmpl w:val="AEB0FE4C"/>
    <w:lvl w:ilvl="0" w:tentative="0">
      <w:start w:val="15"/>
      <w:numFmt w:val="chineseCounting"/>
      <w:suff w:val="nothing"/>
      <w:lvlText w:val="（%1）"/>
      <w:lvlJc w:val="left"/>
      <w:rPr>
        <w:rFonts w:hint="eastAsia"/>
      </w:rPr>
    </w:lvl>
  </w:abstractNum>
  <w:abstractNum w:abstractNumId="2">
    <w:nsid w:val="BF9A8216"/>
    <w:multiLevelType w:val="singleLevel"/>
    <w:tmpl w:val="BF9A8216"/>
    <w:lvl w:ilvl="0" w:tentative="0">
      <w:start w:val="2"/>
      <w:numFmt w:val="chineseCounting"/>
      <w:suff w:val="nothing"/>
      <w:lvlText w:val="（%1）"/>
      <w:lvlJc w:val="left"/>
      <w:rPr>
        <w:rFonts w:hint="eastAsia"/>
      </w:rPr>
    </w:lvl>
  </w:abstractNum>
  <w:abstractNum w:abstractNumId="3">
    <w:nsid w:val="BFFC2636"/>
    <w:multiLevelType w:val="singleLevel"/>
    <w:tmpl w:val="BFFC2636"/>
    <w:lvl w:ilvl="0" w:tentative="0">
      <w:start w:val="11"/>
      <w:numFmt w:val="chineseCounting"/>
      <w:suff w:val="nothing"/>
      <w:lvlText w:val="（%1）"/>
      <w:lvlJc w:val="left"/>
      <w:rPr>
        <w:rFonts w:hint="eastAsia"/>
      </w:rPr>
    </w:lvl>
  </w:abstractNum>
  <w:abstractNum w:abstractNumId="4">
    <w:nsid w:val="EF67CFAC"/>
    <w:multiLevelType w:val="singleLevel"/>
    <w:tmpl w:val="EF67CFAC"/>
    <w:lvl w:ilvl="0" w:tentative="0">
      <w:start w:val="19"/>
      <w:numFmt w:val="chineseCounting"/>
      <w:suff w:val="nothing"/>
      <w:lvlText w:val="（%1）"/>
      <w:lvlJc w:val="left"/>
      <w:pPr>
        <w:ind w:left="640" w:firstLine="0"/>
      </w:pPr>
      <w:rPr>
        <w:rFonts w:hint="eastAsia"/>
      </w:rPr>
    </w:lvl>
  </w:abstractNum>
  <w:num w:numId="1">
    <w:abstractNumId w:val="2"/>
  </w:num>
  <w:num w:numId="2">
    <w:abstractNumId w:val="3"/>
  </w:num>
  <w:num w:numId="3">
    <w:abstractNumId w:val="0"/>
  </w:num>
  <w:num w:numId="4">
    <w:abstractNumId w:val="1"/>
  </w:num>
  <w:num w:numId="5">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uos">
    <w15:presenceInfo w15:providerId="None" w15:userId="uo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revisionView w:markup="0"/>
  <w:documentProtection w:enforcement="0"/>
  <w:defaultTabStop w:val="420"/>
  <w:hyphenationZone w:val="360"/>
  <w:evenAndOddHeaders w:val="1"/>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F314E0D"/>
    <w:rsid w:val="0000053B"/>
    <w:rsid w:val="00000BC8"/>
    <w:rsid w:val="00000D35"/>
    <w:rsid w:val="00000E8A"/>
    <w:rsid w:val="00001A5E"/>
    <w:rsid w:val="0001025F"/>
    <w:rsid w:val="00010E72"/>
    <w:rsid w:val="00010FBD"/>
    <w:rsid w:val="000134B5"/>
    <w:rsid w:val="0001572E"/>
    <w:rsid w:val="0001671F"/>
    <w:rsid w:val="0001751F"/>
    <w:rsid w:val="00017973"/>
    <w:rsid w:val="00017C56"/>
    <w:rsid w:val="00017C8E"/>
    <w:rsid w:val="00021290"/>
    <w:rsid w:val="0002164E"/>
    <w:rsid w:val="000228A4"/>
    <w:rsid w:val="00024FC9"/>
    <w:rsid w:val="0002517C"/>
    <w:rsid w:val="00025291"/>
    <w:rsid w:val="0003004C"/>
    <w:rsid w:val="000305B6"/>
    <w:rsid w:val="00031020"/>
    <w:rsid w:val="00036CC9"/>
    <w:rsid w:val="00037A1D"/>
    <w:rsid w:val="0004119F"/>
    <w:rsid w:val="00041495"/>
    <w:rsid w:val="00043109"/>
    <w:rsid w:val="00043BA4"/>
    <w:rsid w:val="00045126"/>
    <w:rsid w:val="00047737"/>
    <w:rsid w:val="0005120B"/>
    <w:rsid w:val="00053149"/>
    <w:rsid w:val="00055C21"/>
    <w:rsid w:val="00056556"/>
    <w:rsid w:val="00060597"/>
    <w:rsid w:val="00060CE0"/>
    <w:rsid w:val="000615CF"/>
    <w:rsid w:val="0006347A"/>
    <w:rsid w:val="000671EE"/>
    <w:rsid w:val="00070196"/>
    <w:rsid w:val="000701C3"/>
    <w:rsid w:val="00071DE3"/>
    <w:rsid w:val="00071DF1"/>
    <w:rsid w:val="00071E83"/>
    <w:rsid w:val="0007324B"/>
    <w:rsid w:val="00074623"/>
    <w:rsid w:val="00076F96"/>
    <w:rsid w:val="00082970"/>
    <w:rsid w:val="0008397E"/>
    <w:rsid w:val="00090E87"/>
    <w:rsid w:val="00090EB2"/>
    <w:rsid w:val="00097E64"/>
    <w:rsid w:val="000A1E68"/>
    <w:rsid w:val="000A2307"/>
    <w:rsid w:val="000A26F8"/>
    <w:rsid w:val="000A3DA4"/>
    <w:rsid w:val="000A51DB"/>
    <w:rsid w:val="000A7F88"/>
    <w:rsid w:val="000B0241"/>
    <w:rsid w:val="000B182B"/>
    <w:rsid w:val="000B2C2B"/>
    <w:rsid w:val="000B318D"/>
    <w:rsid w:val="000B483E"/>
    <w:rsid w:val="000B76CD"/>
    <w:rsid w:val="000D1918"/>
    <w:rsid w:val="000D2276"/>
    <w:rsid w:val="000D46E6"/>
    <w:rsid w:val="000D4B7C"/>
    <w:rsid w:val="000E189F"/>
    <w:rsid w:val="000E242A"/>
    <w:rsid w:val="000E2DE0"/>
    <w:rsid w:val="000E4A4D"/>
    <w:rsid w:val="000E5531"/>
    <w:rsid w:val="000E6931"/>
    <w:rsid w:val="000F0166"/>
    <w:rsid w:val="000F1D11"/>
    <w:rsid w:val="000F3390"/>
    <w:rsid w:val="000F3786"/>
    <w:rsid w:val="000F3C60"/>
    <w:rsid w:val="000F7B4B"/>
    <w:rsid w:val="00100F1E"/>
    <w:rsid w:val="00104732"/>
    <w:rsid w:val="00104FB1"/>
    <w:rsid w:val="0010515D"/>
    <w:rsid w:val="001106F2"/>
    <w:rsid w:val="00110B09"/>
    <w:rsid w:val="001116CA"/>
    <w:rsid w:val="0011191E"/>
    <w:rsid w:val="001147E4"/>
    <w:rsid w:val="00114AC4"/>
    <w:rsid w:val="00114FD2"/>
    <w:rsid w:val="001166E7"/>
    <w:rsid w:val="00117691"/>
    <w:rsid w:val="0012067D"/>
    <w:rsid w:val="00120FA6"/>
    <w:rsid w:val="00121523"/>
    <w:rsid w:val="00121A80"/>
    <w:rsid w:val="0012298D"/>
    <w:rsid w:val="00124296"/>
    <w:rsid w:val="001243C4"/>
    <w:rsid w:val="0012798F"/>
    <w:rsid w:val="00127B89"/>
    <w:rsid w:val="00127D04"/>
    <w:rsid w:val="001303D3"/>
    <w:rsid w:val="00130A9D"/>
    <w:rsid w:val="001316F8"/>
    <w:rsid w:val="001332BC"/>
    <w:rsid w:val="001340AD"/>
    <w:rsid w:val="0013461A"/>
    <w:rsid w:val="00137385"/>
    <w:rsid w:val="001379A7"/>
    <w:rsid w:val="00140625"/>
    <w:rsid w:val="00142107"/>
    <w:rsid w:val="00145C0B"/>
    <w:rsid w:val="00145D2E"/>
    <w:rsid w:val="00146D53"/>
    <w:rsid w:val="00147907"/>
    <w:rsid w:val="00151F28"/>
    <w:rsid w:val="00153017"/>
    <w:rsid w:val="00155A0E"/>
    <w:rsid w:val="001602EE"/>
    <w:rsid w:val="001608F4"/>
    <w:rsid w:val="00161F95"/>
    <w:rsid w:val="0016316E"/>
    <w:rsid w:val="0016554C"/>
    <w:rsid w:val="00166461"/>
    <w:rsid w:val="0016715A"/>
    <w:rsid w:val="001679C2"/>
    <w:rsid w:val="00170824"/>
    <w:rsid w:val="0017273F"/>
    <w:rsid w:val="00172ABF"/>
    <w:rsid w:val="00173AA9"/>
    <w:rsid w:val="00177B68"/>
    <w:rsid w:val="00180CF8"/>
    <w:rsid w:val="00182DBF"/>
    <w:rsid w:val="00183AA6"/>
    <w:rsid w:val="001844AF"/>
    <w:rsid w:val="00184638"/>
    <w:rsid w:val="00187037"/>
    <w:rsid w:val="00194319"/>
    <w:rsid w:val="001948D4"/>
    <w:rsid w:val="00197198"/>
    <w:rsid w:val="001A0A30"/>
    <w:rsid w:val="001A102B"/>
    <w:rsid w:val="001A2BD2"/>
    <w:rsid w:val="001A3639"/>
    <w:rsid w:val="001A72B0"/>
    <w:rsid w:val="001B2E25"/>
    <w:rsid w:val="001B36FF"/>
    <w:rsid w:val="001B6A85"/>
    <w:rsid w:val="001C0E2E"/>
    <w:rsid w:val="001C21AB"/>
    <w:rsid w:val="001C291D"/>
    <w:rsid w:val="001C2E2C"/>
    <w:rsid w:val="001C2FB0"/>
    <w:rsid w:val="001C3230"/>
    <w:rsid w:val="001C4131"/>
    <w:rsid w:val="001C472D"/>
    <w:rsid w:val="001D0723"/>
    <w:rsid w:val="001D0ADB"/>
    <w:rsid w:val="001D2A39"/>
    <w:rsid w:val="001D3381"/>
    <w:rsid w:val="001D38D9"/>
    <w:rsid w:val="001D42FD"/>
    <w:rsid w:val="001D50C7"/>
    <w:rsid w:val="001D62F3"/>
    <w:rsid w:val="001E1712"/>
    <w:rsid w:val="001E3AE1"/>
    <w:rsid w:val="001E4564"/>
    <w:rsid w:val="001E463E"/>
    <w:rsid w:val="001E48FC"/>
    <w:rsid w:val="001E51E8"/>
    <w:rsid w:val="001E5A4A"/>
    <w:rsid w:val="001F077E"/>
    <w:rsid w:val="001F275C"/>
    <w:rsid w:val="001F4B62"/>
    <w:rsid w:val="001F53DE"/>
    <w:rsid w:val="002014F1"/>
    <w:rsid w:val="002016DC"/>
    <w:rsid w:val="00202305"/>
    <w:rsid w:val="002037DD"/>
    <w:rsid w:val="00203FE2"/>
    <w:rsid w:val="00205C6F"/>
    <w:rsid w:val="002112BA"/>
    <w:rsid w:val="00211B40"/>
    <w:rsid w:val="0021430F"/>
    <w:rsid w:val="0022010B"/>
    <w:rsid w:val="00222BE8"/>
    <w:rsid w:val="00225BC5"/>
    <w:rsid w:val="00226765"/>
    <w:rsid w:val="002301CC"/>
    <w:rsid w:val="00230DF7"/>
    <w:rsid w:val="00233CA4"/>
    <w:rsid w:val="00237083"/>
    <w:rsid w:val="00237D8D"/>
    <w:rsid w:val="002438BD"/>
    <w:rsid w:val="00244F58"/>
    <w:rsid w:val="002502FA"/>
    <w:rsid w:val="002508F6"/>
    <w:rsid w:val="002516F7"/>
    <w:rsid w:val="00253497"/>
    <w:rsid w:val="00253505"/>
    <w:rsid w:val="002537D8"/>
    <w:rsid w:val="00253D8D"/>
    <w:rsid w:val="00254C91"/>
    <w:rsid w:val="0026009A"/>
    <w:rsid w:val="00260B18"/>
    <w:rsid w:val="00261C1B"/>
    <w:rsid w:val="00264B5A"/>
    <w:rsid w:val="00265F33"/>
    <w:rsid w:val="002701FE"/>
    <w:rsid w:val="00271599"/>
    <w:rsid w:val="002750B4"/>
    <w:rsid w:val="002755E6"/>
    <w:rsid w:val="00277086"/>
    <w:rsid w:val="0027732C"/>
    <w:rsid w:val="002821CA"/>
    <w:rsid w:val="00284880"/>
    <w:rsid w:val="00285AEE"/>
    <w:rsid w:val="00286092"/>
    <w:rsid w:val="00290135"/>
    <w:rsid w:val="00295857"/>
    <w:rsid w:val="0029606D"/>
    <w:rsid w:val="002973C7"/>
    <w:rsid w:val="002A0CAD"/>
    <w:rsid w:val="002A32E1"/>
    <w:rsid w:val="002A3E00"/>
    <w:rsid w:val="002A5246"/>
    <w:rsid w:val="002A64B4"/>
    <w:rsid w:val="002A67EB"/>
    <w:rsid w:val="002A7BF8"/>
    <w:rsid w:val="002B0F91"/>
    <w:rsid w:val="002B4292"/>
    <w:rsid w:val="002B4C83"/>
    <w:rsid w:val="002C0358"/>
    <w:rsid w:val="002C048B"/>
    <w:rsid w:val="002C1222"/>
    <w:rsid w:val="002C2F22"/>
    <w:rsid w:val="002C409D"/>
    <w:rsid w:val="002C41C0"/>
    <w:rsid w:val="002C4FC3"/>
    <w:rsid w:val="002C5B09"/>
    <w:rsid w:val="002C7FAF"/>
    <w:rsid w:val="002D063C"/>
    <w:rsid w:val="002D2CF6"/>
    <w:rsid w:val="002D31DC"/>
    <w:rsid w:val="002D3F3C"/>
    <w:rsid w:val="002D4032"/>
    <w:rsid w:val="002D5A5E"/>
    <w:rsid w:val="002D7462"/>
    <w:rsid w:val="002E0919"/>
    <w:rsid w:val="002E2A33"/>
    <w:rsid w:val="002E2F22"/>
    <w:rsid w:val="002E3CC3"/>
    <w:rsid w:val="002F5BA9"/>
    <w:rsid w:val="00301AC3"/>
    <w:rsid w:val="00302690"/>
    <w:rsid w:val="00302982"/>
    <w:rsid w:val="00303418"/>
    <w:rsid w:val="00311ECF"/>
    <w:rsid w:val="00316104"/>
    <w:rsid w:val="00317237"/>
    <w:rsid w:val="00321960"/>
    <w:rsid w:val="00322E30"/>
    <w:rsid w:val="00324937"/>
    <w:rsid w:val="00324C04"/>
    <w:rsid w:val="003340DF"/>
    <w:rsid w:val="00334343"/>
    <w:rsid w:val="003344DF"/>
    <w:rsid w:val="003347A0"/>
    <w:rsid w:val="00336F88"/>
    <w:rsid w:val="00340FF0"/>
    <w:rsid w:val="00341A6E"/>
    <w:rsid w:val="00342CC3"/>
    <w:rsid w:val="00343141"/>
    <w:rsid w:val="00343E0C"/>
    <w:rsid w:val="00344DA3"/>
    <w:rsid w:val="00350F9A"/>
    <w:rsid w:val="00351987"/>
    <w:rsid w:val="00351F4C"/>
    <w:rsid w:val="00352A64"/>
    <w:rsid w:val="0035334E"/>
    <w:rsid w:val="003557E4"/>
    <w:rsid w:val="00361A29"/>
    <w:rsid w:val="0036715B"/>
    <w:rsid w:val="00367E4A"/>
    <w:rsid w:val="003707DE"/>
    <w:rsid w:val="00371465"/>
    <w:rsid w:val="0037414E"/>
    <w:rsid w:val="0037427E"/>
    <w:rsid w:val="00375606"/>
    <w:rsid w:val="003809D1"/>
    <w:rsid w:val="00381A7A"/>
    <w:rsid w:val="00385438"/>
    <w:rsid w:val="003878A5"/>
    <w:rsid w:val="00390619"/>
    <w:rsid w:val="00390C49"/>
    <w:rsid w:val="0039202C"/>
    <w:rsid w:val="00392B94"/>
    <w:rsid w:val="00393F4B"/>
    <w:rsid w:val="00394377"/>
    <w:rsid w:val="003948FC"/>
    <w:rsid w:val="003978C8"/>
    <w:rsid w:val="003A0463"/>
    <w:rsid w:val="003A0C24"/>
    <w:rsid w:val="003A2485"/>
    <w:rsid w:val="003A264D"/>
    <w:rsid w:val="003A31A0"/>
    <w:rsid w:val="003A326C"/>
    <w:rsid w:val="003A3696"/>
    <w:rsid w:val="003A42FA"/>
    <w:rsid w:val="003A5841"/>
    <w:rsid w:val="003A66EC"/>
    <w:rsid w:val="003B078D"/>
    <w:rsid w:val="003B1AA3"/>
    <w:rsid w:val="003B32B0"/>
    <w:rsid w:val="003B59D9"/>
    <w:rsid w:val="003C0C2B"/>
    <w:rsid w:val="003C1EB9"/>
    <w:rsid w:val="003C3249"/>
    <w:rsid w:val="003C3EA0"/>
    <w:rsid w:val="003C419C"/>
    <w:rsid w:val="003C41EC"/>
    <w:rsid w:val="003C4942"/>
    <w:rsid w:val="003D01EF"/>
    <w:rsid w:val="003D14CC"/>
    <w:rsid w:val="003D3B34"/>
    <w:rsid w:val="003D46AE"/>
    <w:rsid w:val="003D6174"/>
    <w:rsid w:val="003E323B"/>
    <w:rsid w:val="003E39D4"/>
    <w:rsid w:val="003E549A"/>
    <w:rsid w:val="003E5A89"/>
    <w:rsid w:val="003F1F24"/>
    <w:rsid w:val="003F595E"/>
    <w:rsid w:val="003F6574"/>
    <w:rsid w:val="003F6E09"/>
    <w:rsid w:val="003F728E"/>
    <w:rsid w:val="00402EDB"/>
    <w:rsid w:val="004100FD"/>
    <w:rsid w:val="0041232A"/>
    <w:rsid w:val="004125FC"/>
    <w:rsid w:val="00412AD9"/>
    <w:rsid w:val="00415492"/>
    <w:rsid w:val="004178C8"/>
    <w:rsid w:val="00423C35"/>
    <w:rsid w:val="00424945"/>
    <w:rsid w:val="004278D4"/>
    <w:rsid w:val="00430D45"/>
    <w:rsid w:val="00431DA3"/>
    <w:rsid w:val="00432A0C"/>
    <w:rsid w:val="00433DE5"/>
    <w:rsid w:val="00437A54"/>
    <w:rsid w:val="00442031"/>
    <w:rsid w:val="004443C8"/>
    <w:rsid w:val="0044481F"/>
    <w:rsid w:val="004454F7"/>
    <w:rsid w:val="00450079"/>
    <w:rsid w:val="004504E7"/>
    <w:rsid w:val="0045373C"/>
    <w:rsid w:val="00453C0B"/>
    <w:rsid w:val="00456071"/>
    <w:rsid w:val="00456737"/>
    <w:rsid w:val="00456A79"/>
    <w:rsid w:val="00460AB8"/>
    <w:rsid w:val="00461EDE"/>
    <w:rsid w:val="004638A8"/>
    <w:rsid w:val="00470220"/>
    <w:rsid w:val="00471E78"/>
    <w:rsid w:val="0047252B"/>
    <w:rsid w:val="00472C32"/>
    <w:rsid w:val="00472D58"/>
    <w:rsid w:val="00473996"/>
    <w:rsid w:val="0047592F"/>
    <w:rsid w:val="004767E9"/>
    <w:rsid w:val="00476AF1"/>
    <w:rsid w:val="00477EF4"/>
    <w:rsid w:val="004823A5"/>
    <w:rsid w:val="00484559"/>
    <w:rsid w:val="004852B6"/>
    <w:rsid w:val="004854B1"/>
    <w:rsid w:val="004876D3"/>
    <w:rsid w:val="004909BB"/>
    <w:rsid w:val="0049197F"/>
    <w:rsid w:val="00493DD9"/>
    <w:rsid w:val="00496CF3"/>
    <w:rsid w:val="00496D57"/>
    <w:rsid w:val="004A135E"/>
    <w:rsid w:val="004A373F"/>
    <w:rsid w:val="004A464E"/>
    <w:rsid w:val="004A4859"/>
    <w:rsid w:val="004B0832"/>
    <w:rsid w:val="004B1D23"/>
    <w:rsid w:val="004B5CC9"/>
    <w:rsid w:val="004B72BC"/>
    <w:rsid w:val="004C0FC4"/>
    <w:rsid w:val="004C1246"/>
    <w:rsid w:val="004C1EC2"/>
    <w:rsid w:val="004C4F15"/>
    <w:rsid w:val="004C61B8"/>
    <w:rsid w:val="004C7700"/>
    <w:rsid w:val="004D313F"/>
    <w:rsid w:val="004D3D71"/>
    <w:rsid w:val="004D4FBD"/>
    <w:rsid w:val="004E1031"/>
    <w:rsid w:val="004E16F4"/>
    <w:rsid w:val="004E2788"/>
    <w:rsid w:val="004E28A4"/>
    <w:rsid w:val="004E3E2A"/>
    <w:rsid w:val="004E441F"/>
    <w:rsid w:val="004F0E59"/>
    <w:rsid w:val="004F1A93"/>
    <w:rsid w:val="004F27DA"/>
    <w:rsid w:val="004F29A2"/>
    <w:rsid w:val="004F2EAE"/>
    <w:rsid w:val="004F2FDA"/>
    <w:rsid w:val="004F49DE"/>
    <w:rsid w:val="004F4C83"/>
    <w:rsid w:val="004F564A"/>
    <w:rsid w:val="004F6088"/>
    <w:rsid w:val="0050055F"/>
    <w:rsid w:val="00501A8E"/>
    <w:rsid w:val="00502983"/>
    <w:rsid w:val="005045F2"/>
    <w:rsid w:val="0051102B"/>
    <w:rsid w:val="0051110B"/>
    <w:rsid w:val="00513E02"/>
    <w:rsid w:val="005141F0"/>
    <w:rsid w:val="00514727"/>
    <w:rsid w:val="0051691A"/>
    <w:rsid w:val="005172E6"/>
    <w:rsid w:val="005216DB"/>
    <w:rsid w:val="00522BE1"/>
    <w:rsid w:val="00525134"/>
    <w:rsid w:val="00527055"/>
    <w:rsid w:val="00527860"/>
    <w:rsid w:val="005302E8"/>
    <w:rsid w:val="00537C60"/>
    <w:rsid w:val="005403BB"/>
    <w:rsid w:val="00540508"/>
    <w:rsid w:val="00541462"/>
    <w:rsid w:val="00545692"/>
    <w:rsid w:val="00547939"/>
    <w:rsid w:val="0055006E"/>
    <w:rsid w:val="005528A4"/>
    <w:rsid w:val="0055343F"/>
    <w:rsid w:val="005538B1"/>
    <w:rsid w:val="005570A3"/>
    <w:rsid w:val="00557BB6"/>
    <w:rsid w:val="005617E0"/>
    <w:rsid w:val="005623D2"/>
    <w:rsid w:val="0056793D"/>
    <w:rsid w:val="00570476"/>
    <w:rsid w:val="005758B0"/>
    <w:rsid w:val="0057593B"/>
    <w:rsid w:val="005761DA"/>
    <w:rsid w:val="00576B9B"/>
    <w:rsid w:val="005775A5"/>
    <w:rsid w:val="00577A94"/>
    <w:rsid w:val="00577CD6"/>
    <w:rsid w:val="00581C4B"/>
    <w:rsid w:val="005820C9"/>
    <w:rsid w:val="0058211A"/>
    <w:rsid w:val="005847C1"/>
    <w:rsid w:val="005903E6"/>
    <w:rsid w:val="005906A6"/>
    <w:rsid w:val="00590E74"/>
    <w:rsid w:val="00593B63"/>
    <w:rsid w:val="005A1F8D"/>
    <w:rsid w:val="005A67BB"/>
    <w:rsid w:val="005A740E"/>
    <w:rsid w:val="005B0120"/>
    <w:rsid w:val="005B0BCC"/>
    <w:rsid w:val="005B2090"/>
    <w:rsid w:val="005B2A3B"/>
    <w:rsid w:val="005B2AFE"/>
    <w:rsid w:val="005B39F8"/>
    <w:rsid w:val="005B3F4F"/>
    <w:rsid w:val="005B71C1"/>
    <w:rsid w:val="005C2B4E"/>
    <w:rsid w:val="005C663F"/>
    <w:rsid w:val="005C6904"/>
    <w:rsid w:val="005C79E2"/>
    <w:rsid w:val="005D07B3"/>
    <w:rsid w:val="005D1611"/>
    <w:rsid w:val="005E5234"/>
    <w:rsid w:val="005E7F3F"/>
    <w:rsid w:val="005F6CAA"/>
    <w:rsid w:val="00601257"/>
    <w:rsid w:val="00602DE5"/>
    <w:rsid w:val="0060451F"/>
    <w:rsid w:val="006049B5"/>
    <w:rsid w:val="006054BF"/>
    <w:rsid w:val="0060556C"/>
    <w:rsid w:val="00605FB9"/>
    <w:rsid w:val="006077DA"/>
    <w:rsid w:val="00613495"/>
    <w:rsid w:val="006138A9"/>
    <w:rsid w:val="00613D31"/>
    <w:rsid w:val="00615B11"/>
    <w:rsid w:val="00616699"/>
    <w:rsid w:val="006217C9"/>
    <w:rsid w:val="006217CD"/>
    <w:rsid w:val="00622118"/>
    <w:rsid w:val="00622A7A"/>
    <w:rsid w:val="00623F3E"/>
    <w:rsid w:val="00626C25"/>
    <w:rsid w:val="006302E7"/>
    <w:rsid w:val="0063404D"/>
    <w:rsid w:val="00634F1B"/>
    <w:rsid w:val="00637C57"/>
    <w:rsid w:val="00640710"/>
    <w:rsid w:val="00642967"/>
    <w:rsid w:val="00643C82"/>
    <w:rsid w:val="00644794"/>
    <w:rsid w:val="006504F8"/>
    <w:rsid w:val="00655583"/>
    <w:rsid w:val="00657A43"/>
    <w:rsid w:val="00660860"/>
    <w:rsid w:val="00660BC7"/>
    <w:rsid w:val="0066177F"/>
    <w:rsid w:val="00661FD1"/>
    <w:rsid w:val="006631A6"/>
    <w:rsid w:val="006635EA"/>
    <w:rsid w:val="0066581C"/>
    <w:rsid w:val="00670F37"/>
    <w:rsid w:val="00674510"/>
    <w:rsid w:val="0067548C"/>
    <w:rsid w:val="0068029A"/>
    <w:rsid w:val="00684358"/>
    <w:rsid w:val="00686D4F"/>
    <w:rsid w:val="00687BC5"/>
    <w:rsid w:val="00691763"/>
    <w:rsid w:val="0069233D"/>
    <w:rsid w:val="006A28D5"/>
    <w:rsid w:val="006A3076"/>
    <w:rsid w:val="006A31DB"/>
    <w:rsid w:val="006A3B57"/>
    <w:rsid w:val="006A4BE5"/>
    <w:rsid w:val="006A55AD"/>
    <w:rsid w:val="006A65EF"/>
    <w:rsid w:val="006C492D"/>
    <w:rsid w:val="006C6369"/>
    <w:rsid w:val="006D2826"/>
    <w:rsid w:val="006D44DF"/>
    <w:rsid w:val="006D547B"/>
    <w:rsid w:val="006D582C"/>
    <w:rsid w:val="006D6106"/>
    <w:rsid w:val="006E16EF"/>
    <w:rsid w:val="006E58B8"/>
    <w:rsid w:val="006E628F"/>
    <w:rsid w:val="006E7D08"/>
    <w:rsid w:val="006F0642"/>
    <w:rsid w:val="006F069F"/>
    <w:rsid w:val="006F0977"/>
    <w:rsid w:val="006F19A2"/>
    <w:rsid w:val="006F320A"/>
    <w:rsid w:val="006F405C"/>
    <w:rsid w:val="006F4AF1"/>
    <w:rsid w:val="006F6C03"/>
    <w:rsid w:val="006F793B"/>
    <w:rsid w:val="006F7A1E"/>
    <w:rsid w:val="007014BE"/>
    <w:rsid w:val="00704458"/>
    <w:rsid w:val="00705A3B"/>
    <w:rsid w:val="0070677A"/>
    <w:rsid w:val="007069D0"/>
    <w:rsid w:val="00707093"/>
    <w:rsid w:val="00707748"/>
    <w:rsid w:val="00707A12"/>
    <w:rsid w:val="007103AB"/>
    <w:rsid w:val="007107BA"/>
    <w:rsid w:val="00710CE7"/>
    <w:rsid w:val="007227D3"/>
    <w:rsid w:val="00730BED"/>
    <w:rsid w:val="007327B6"/>
    <w:rsid w:val="00737112"/>
    <w:rsid w:val="007375F9"/>
    <w:rsid w:val="007377CC"/>
    <w:rsid w:val="007418CF"/>
    <w:rsid w:val="007443AD"/>
    <w:rsid w:val="00745BA7"/>
    <w:rsid w:val="00745F2F"/>
    <w:rsid w:val="007469D2"/>
    <w:rsid w:val="0075198B"/>
    <w:rsid w:val="007543DE"/>
    <w:rsid w:val="00756068"/>
    <w:rsid w:val="007566F0"/>
    <w:rsid w:val="00760780"/>
    <w:rsid w:val="00763624"/>
    <w:rsid w:val="0076441E"/>
    <w:rsid w:val="0076657F"/>
    <w:rsid w:val="0077296A"/>
    <w:rsid w:val="00774B22"/>
    <w:rsid w:val="00777A09"/>
    <w:rsid w:val="007837F3"/>
    <w:rsid w:val="007904A7"/>
    <w:rsid w:val="00794C4E"/>
    <w:rsid w:val="007963A2"/>
    <w:rsid w:val="007A6F05"/>
    <w:rsid w:val="007B6642"/>
    <w:rsid w:val="007C5CDC"/>
    <w:rsid w:val="007C6DEF"/>
    <w:rsid w:val="007C7C36"/>
    <w:rsid w:val="007D1C46"/>
    <w:rsid w:val="007D340E"/>
    <w:rsid w:val="007D5A8A"/>
    <w:rsid w:val="007D62CA"/>
    <w:rsid w:val="007D66C2"/>
    <w:rsid w:val="007D765B"/>
    <w:rsid w:val="007E0BFD"/>
    <w:rsid w:val="007E20CA"/>
    <w:rsid w:val="007F042D"/>
    <w:rsid w:val="007F0737"/>
    <w:rsid w:val="007F0940"/>
    <w:rsid w:val="007F19AC"/>
    <w:rsid w:val="007F1E62"/>
    <w:rsid w:val="007F24F6"/>
    <w:rsid w:val="007F2A0D"/>
    <w:rsid w:val="007F2A7E"/>
    <w:rsid w:val="007F552B"/>
    <w:rsid w:val="007F59E1"/>
    <w:rsid w:val="007F63EC"/>
    <w:rsid w:val="007F6516"/>
    <w:rsid w:val="00800C47"/>
    <w:rsid w:val="00803F1B"/>
    <w:rsid w:val="008056A7"/>
    <w:rsid w:val="00805852"/>
    <w:rsid w:val="00805B22"/>
    <w:rsid w:val="00810805"/>
    <w:rsid w:val="00810F55"/>
    <w:rsid w:val="00811A91"/>
    <w:rsid w:val="00814958"/>
    <w:rsid w:val="008149CF"/>
    <w:rsid w:val="00816CA5"/>
    <w:rsid w:val="00817FC3"/>
    <w:rsid w:val="00823E54"/>
    <w:rsid w:val="00824A4E"/>
    <w:rsid w:val="008254E7"/>
    <w:rsid w:val="008331F8"/>
    <w:rsid w:val="0083477F"/>
    <w:rsid w:val="00837152"/>
    <w:rsid w:val="00837596"/>
    <w:rsid w:val="00840886"/>
    <w:rsid w:val="008408A0"/>
    <w:rsid w:val="00846E88"/>
    <w:rsid w:val="008501A5"/>
    <w:rsid w:val="00854ADE"/>
    <w:rsid w:val="008576F0"/>
    <w:rsid w:val="00857C89"/>
    <w:rsid w:val="00857FE1"/>
    <w:rsid w:val="008611F2"/>
    <w:rsid w:val="00861E1F"/>
    <w:rsid w:val="00861EE2"/>
    <w:rsid w:val="00862598"/>
    <w:rsid w:val="00864151"/>
    <w:rsid w:val="00865C0D"/>
    <w:rsid w:val="00867F1E"/>
    <w:rsid w:val="008707CA"/>
    <w:rsid w:val="00871650"/>
    <w:rsid w:val="00872A55"/>
    <w:rsid w:val="00873542"/>
    <w:rsid w:val="00880C71"/>
    <w:rsid w:val="0088117B"/>
    <w:rsid w:val="00882531"/>
    <w:rsid w:val="0088714E"/>
    <w:rsid w:val="00887FA5"/>
    <w:rsid w:val="008926B7"/>
    <w:rsid w:val="0089561E"/>
    <w:rsid w:val="008A0590"/>
    <w:rsid w:val="008B063A"/>
    <w:rsid w:val="008B2878"/>
    <w:rsid w:val="008B2A80"/>
    <w:rsid w:val="008B4122"/>
    <w:rsid w:val="008B534E"/>
    <w:rsid w:val="008B536E"/>
    <w:rsid w:val="008B5F79"/>
    <w:rsid w:val="008B61CE"/>
    <w:rsid w:val="008C0485"/>
    <w:rsid w:val="008C2242"/>
    <w:rsid w:val="008C2FFC"/>
    <w:rsid w:val="008C3D85"/>
    <w:rsid w:val="008D2512"/>
    <w:rsid w:val="008D3423"/>
    <w:rsid w:val="008D416F"/>
    <w:rsid w:val="008D6580"/>
    <w:rsid w:val="008E1E2A"/>
    <w:rsid w:val="008E277B"/>
    <w:rsid w:val="008E3748"/>
    <w:rsid w:val="008E45DE"/>
    <w:rsid w:val="008E765D"/>
    <w:rsid w:val="008F733C"/>
    <w:rsid w:val="00901BE0"/>
    <w:rsid w:val="00904292"/>
    <w:rsid w:val="00910626"/>
    <w:rsid w:val="00910AC9"/>
    <w:rsid w:val="0091236B"/>
    <w:rsid w:val="009135EF"/>
    <w:rsid w:val="009150AA"/>
    <w:rsid w:val="009167EA"/>
    <w:rsid w:val="00916E26"/>
    <w:rsid w:val="00917CF5"/>
    <w:rsid w:val="009203AD"/>
    <w:rsid w:val="00920BA7"/>
    <w:rsid w:val="00921A7B"/>
    <w:rsid w:val="00921D50"/>
    <w:rsid w:val="00923ABF"/>
    <w:rsid w:val="009257CF"/>
    <w:rsid w:val="00926D34"/>
    <w:rsid w:val="00926E93"/>
    <w:rsid w:val="00927FAF"/>
    <w:rsid w:val="00930C66"/>
    <w:rsid w:val="00933440"/>
    <w:rsid w:val="00933AD4"/>
    <w:rsid w:val="00935D37"/>
    <w:rsid w:val="00936389"/>
    <w:rsid w:val="009367C7"/>
    <w:rsid w:val="0094058F"/>
    <w:rsid w:val="00940633"/>
    <w:rsid w:val="009413D6"/>
    <w:rsid w:val="009418C7"/>
    <w:rsid w:val="00942DC2"/>
    <w:rsid w:val="009433EF"/>
    <w:rsid w:val="00943770"/>
    <w:rsid w:val="00944428"/>
    <w:rsid w:val="0094465F"/>
    <w:rsid w:val="009446AB"/>
    <w:rsid w:val="00946C62"/>
    <w:rsid w:val="00947975"/>
    <w:rsid w:val="00956CA1"/>
    <w:rsid w:val="00957FC8"/>
    <w:rsid w:val="0096020A"/>
    <w:rsid w:val="00960DBD"/>
    <w:rsid w:val="00960E8B"/>
    <w:rsid w:val="009618C6"/>
    <w:rsid w:val="0096652B"/>
    <w:rsid w:val="00967743"/>
    <w:rsid w:val="009700AC"/>
    <w:rsid w:val="00970E4B"/>
    <w:rsid w:val="0097162D"/>
    <w:rsid w:val="0097473C"/>
    <w:rsid w:val="00974D3A"/>
    <w:rsid w:val="0097594A"/>
    <w:rsid w:val="00977B8C"/>
    <w:rsid w:val="00980419"/>
    <w:rsid w:val="00980D23"/>
    <w:rsid w:val="00983562"/>
    <w:rsid w:val="00985E2D"/>
    <w:rsid w:val="00990379"/>
    <w:rsid w:val="0099164F"/>
    <w:rsid w:val="00994467"/>
    <w:rsid w:val="00994538"/>
    <w:rsid w:val="00995057"/>
    <w:rsid w:val="0099782D"/>
    <w:rsid w:val="00997D7A"/>
    <w:rsid w:val="009A01BD"/>
    <w:rsid w:val="009A1E22"/>
    <w:rsid w:val="009A2534"/>
    <w:rsid w:val="009A323D"/>
    <w:rsid w:val="009A4D6E"/>
    <w:rsid w:val="009A54A9"/>
    <w:rsid w:val="009B0F62"/>
    <w:rsid w:val="009B4126"/>
    <w:rsid w:val="009B4573"/>
    <w:rsid w:val="009B4DCE"/>
    <w:rsid w:val="009B5ABF"/>
    <w:rsid w:val="009B6906"/>
    <w:rsid w:val="009B7AF2"/>
    <w:rsid w:val="009B7E26"/>
    <w:rsid w:val="009C0CFE"/>
    <w:rsid w:val="009C323E"/>
    <w:rsid w:val="009C3D15"/>
    <w:rsid w:val="009D16DF"/>
    <w:rsid w:val="009D1830"/>
    <w:rsid w:val="009D1AC9"/>
    <w:rsid w:val="009D1DF7"/>
    <w:rsid w:val="009D3B7A"/>
    <w:rsid w:val="009D417C"/>
    <w:rsid w:val="009D455E"/>
    <w:rsid w:val="009E41F1"/>
    <w:rsid w:val="009E6969"/>
    <w:rsid w:val="009F13D4"/>
    <w:rsid w:val="009F14F1"/>
    <w:rsid w:val="009F1CFB"/>
    <w:rsid w:val="009F1DFF"/>
    <w:rsid w:val="009F35D0"/>
    <w:rsid w:val="009F3B9B"/>
    <w:rsid w:val="009F5A1E"/>
    <w:rsid w:val="009F69BD"/>
    <w:rsid w:val="009F69DB"/>
    <w:rsid w:val="009F6E0B"/>
    <w:rsid w:val="00A0130C"/>
    <w:rsid w:val="00A013CD"/>
    <w:rsid w:val="00A027F4"/>
    <w:rsid w:val="00A0337F"/>
    <w:rsid w:val="00A055DB"/>
    <w:rsid w:val="00A0595F"/>
    <w:rsid w:val="00A12557"/>
    <w:rsid w:val="00A12B15"/>
    <w:rsid w:val="00A1338D"/>
    <w:rsid w:val="00A156FF"/>
    <w:rsid w:val="00A15728"/>
    <w:rsid w:val="00A15F73"/>
    <w:rsid w:val="00A1646A"/>
    <w:rsid w:val="00A1658F"/>
    <w:rsid w:val="00A16646"/>
    <w:rsid w:val="00A17257"/>
    <w:rsid w:val="00A1771F"/>
    <w:rsid w:val="00A17737"/>
    <w:rsid w:val="00A206AD"/>
    <w:rsid w:val="00A21826"/>
    <w:rsid w:val="00A223A7"/>
    <w:rsid w:val="00A22CB4"/>
    <w:rsid w:val="00A22CDE"/>
    <w:rsid w:val="00A22ED2"/>
    <w:rsid w:val="00A23026"/>
    <w:rsid w:val="00A23044"/>
    <w:rsid w:val="00A26DD8"/>
    <w:rsid w:val="00A3282B"/>
    <w:rsid w:val="00A3667B"/>
    <w:rsid w:val="00A3736E"/>
    <w:rsid w:val="00A41CDE"/>
    <w:rsid w:val="00A42363"/>
    <w:rsid w:val="00A42678"/>
    <w:rsid w:val="00A44782"/>
    <w:rsid w:val="00A51056"/>
    <w:rsid w:val="00A52ADA"/>
    <w:rsid w:val="00A54A96"/>
    <w:rsid w:val="00A55F01"/>
    <w:rsid w:val="00A5779D"/>
    <w:rsid w:val="00A57AB0"/>
    <w:rsid w:val="00A62053"/>
    <w:rsid w:val="00A66B95"/>
    <w:rsid w:val="00A67E61"/>
    <w:rsid w:val="00A72406"/>
    <w:rsid w:val="00A72786"/>
    <w:rsid w:val="00A746B2"/>
    <w:rsid w:val="00A74FC4"/>
    <w:rsid w:val="00A75048"/>
    <w:rsid w:val="00A8034A"/>
    <w:rsid w:val="00A81344"/>
    <w:rsid w:val="00A8144C"/>
    <w:rsid w:val="00A82198"/>
    <w:rsid w:val="00A85729"/>
    <w:rsid w:val="00A869B9"/>
    <w:rsid w:val="00A871E1"/>
    <w:rsid w:val="00A872AA"/>
    <w:rsid w:val="00A87303"/>
    <w:rsid w:val="00A91C4C"/>
    <w:rsid w:val="00A925C8"/>
    <w:rsid w:val="00A93C26"/>
    <w:rsid w:val="00A9486C"/>
    <w:rsid w:val="00A94FB8"/>
    <w:rsid w:val="00A96790"/>
    <w:rsid w:val="00AA07BD"/>
    <w:rsid w:val="00AA3212"/>
    <w:rsid w:val="00AA3545"/>
    <w:rsid w:val="00AA4BD1"/>
    <w:rsid w:val="00AB27A7"/>
    <w:rsid w:val="00AB38D9"/>
    <w:rsid w:val="00AB7DAC"/>
    <w:rsid w:val="00AC1974"/>
    <w:rsid w:val="00AC2132"/>
    <w:rsid w:val="00AC4D0F"/>
    <w:rsid w:val="00AC5F27"/>
    <w:rsid w:val="00AC6193"/>
    <w:rsid w:val="00AC685E"/>
    <w:rsid w:val="00AD04B0"/>
    <w:rsid w:val="00AD0907"/>
    <w:rsid w:val="00AD29ED"/>
    <w:rsid w:val="00AD5212"/>
    <w:rsid w:val="00AD57D5"/>
    <w:rsid w:val="00AE10AE"/>
    <w:rsid w:val="00AE14C5"/>
    <w:rsid w:val="00AE34C5"/>
    <w:rsid w:val="00AE36EC"/>
    <w:rsid w:val="00AE43B0"/>
    <w:rsid w:val="00AE4C6F"/>
    <w:rsid w:val="00AE5AAD"/>
    <w:rsid w:val="00AE5CC0"/>
    <w:rsid w:val="00AE688F"/>
    <w:rsid w:val="00AF0A6F"/>
    <w:rsid w:val="00AF2682"/>
    <w:rsid w:val="00AF31FA"/>
    <w:rsid w:val="00AF375F"/>
    <w:rsid w:val="00AF400E"/>
    <w:rsid w:val="00AF4411"/>
    <w:rsid w:val="00AF51A3"/>
    <w:rsid w:val="00AF53DE"/>
    <w:rsid w:val="00AF55D3"/>
    <w:rsid w:val="00AF6933"/>
    <w:rsid w:val="00AF7027"/>
    <w:rsid w:val="00B00D15"/>
    <w:rsid w:val="00B041F1"/>
    <w:rsid w:val="00B05A19"/>
    <w:rsid w:val="00B05C1E"/>
    <w:rsid w:val="00B0602B"/>
    <w:rsid w:val="00B065B9"/>
    <w:rsid w:val="00B07A9F"/>
    <w:rsid w:val="00B12051"/>
    <w:rsid w:val="00B1350C"/>
    <w:rsid w:val="00B13789"/>
    <w:rsid w:val="00B15D33"/>
    <w:rsid w:val="00B162C3"/>
    <w:rsid w:val="00B21491"/>
    <w:rsid w:val="00B22EA7"/>
    <w:rsid w:val="00B246E2"/>
    <w:rsid w:val="00B269DB"/>
    <w:rsid w:val="00B3342A"/>
    <w:rsid w:val="00B37486"/>
    <w:rsid w:val="00B406F3"/>
    <w:rsid w:val="00B40DCF"/>
    <w:rsid w:val="00B41574"/>
    <w:rsid w:val="00B43C7B"/>
    <w:rsid w:val="00B4489A"/>
    <w:rsid w:val="00B4656E"/>
    <w:rsid w:val="00B47AB4"/>
    <w:rsid w:val="00B509ED"/>
    <w:rsid w:val="00B51750"/>
    <w:rsid w:val="00B54162"/>
    <w:rsid w:val="00B542D3"/>
    <w:rsid w:val="00B560B0"/>
    <w:rsid w:val="00B56A1E"/>
    <w:rsid w:val="00B57284"/>
    <w:rsid w:val="00B57BE1"/>
    <w:rsid w:val="00B6035B"/>
    <w:rsid w:val="00B62F6F"/>
    <w:rsid w:val="00B64E58"/>
    <w:rsid w:val="00B666ED"/>
    <w:rsid w:val="00B70DED"/>
    <w:rsid w:val="00B7317D"/>
    <w:rsid w:val="00B76556"/>
    <w:rsid w:val="00B836D5"/>
    <w:rsid w:val="00B840AB"/>
    <w:rsid w:val="00B84FE0"/>
    <w:rsid w:val="00B90C4D"/>
    <w:rsid w:val="00B920DD"/>
    <w:rsid w:val="00B92C79"/>
    <w:rsid w:val="00B952EB"/>
    <w:rsid w:val="00B96270"/>
    <w:rsid w:val="00B97680"/>
    <w:rsid w:val="00BA069E"/>
    <w:rsid w:val="00BA0EAF"/>
    <w:rsid w:val="00BA12FD"/>
    <w:rsid w:val="00BA5DE0"/>
    <w:rsid w:val="00BA69BB"/>
    <w:rsid w:val="00BA7956"/>
    <w:rsid w:val="00BA7B67"/>
    <w:rsid w:val="00BB143A"/>
    <w:rsid w:val="00BB62CF"/>
    <w:rsid w:val="00BB77ED"/>
    <w:rsid w:val="00BC07D9"/>
    <w:rsid w:val="00BC0F68"/>
    <w:rsid w:val="00BC5ACB"/>
    <w:rsid w:val="00BD0A62"/>
    <w:rsid w:val="00BD0B0A"/>
    <w:rsid w:val="00BD156F"/>
    <w:rsid w:val="00BD1AAA"/>
    <w:rsid w:val="00BD1E82"/>
    <w:rsid w:val="00BD3403"/>
    <w:rsid w:val="00BD3778"/>
    <w:rsid w:val="00BD384E"/>
    <w:rsid w:val="00BD4B1D"/>
    <w:rsid w:val="00BD6CB8"/>
    <w:rsid w:val="00BE03FB"/>
    <w:rsid w:val="00BE1A66"/>
    <w:rsid w:val="00BE25B8"/>
    <w:rsid w:val="00BE5150"/>
    <w:rsid w:val="00BE5638"/>
    <w:rsid w:val="00BF04ED"/>
    <w:rsid w:val="00BF37DC"/>
    <w:rsid w:val="00BF60EE"/>
    <w:rsid w:val="00BF7550"/>
    <w:rsid w:val="00C0138E"/>
    <w:rsid w:val="00C0165B"/>
    <w:rsid w:val="00C023A4"/>
    <w:rsid w:val="00C03B39"/>
    <w:rsid w:val="00C03DAB"/>
    <w:rsid w:val="00C0403E"/>
    <w:rsid w:val="00C05D5F"/>
    <w:rsid w:val="00C062CC"/>
    <w:rsid w:val="00C06C13"/>
    <w:rsid w:val="00C076E1"/>
    <w:rsid w:val="00C10609"/>
    <w:rsid w:val="00C1296E"/>
    <w:rsid w:val="00C168B8"/>
    <w:rsid w:val="00C16B94"/>
    <w:rsid w:val="00C2004B"/>
    <w:rsid w:val="00C22AFA"/>
    <w:rsid w:val="00C24A34"/>
    <w:rsid w:val="00C275DE"/>
    <w:rsid w:val="00C344E7"/>
    <w:rsid w:val="00C34C2B"/>
    <w:rsid w:val="00C43335"/>
    <w:rsid w:val="00C471EE"/>
    <w:rsid w:val="00C5090D"/>
    <w:rsid w:val="00C516A1"/>
    <w:rsid w:val="00C531FF"/>
    <w:rsid w:val="00C53663"/>
    <w:rsid w:val="00C543E3"/>
    <w:rsid w:val="00C54463"/>
    <w:rsid w:val="00C625FA"/>
    <w:rsid w:val="00C644C7"/>
    <w:rsid w:val="00C659D0"/>
    <w:rsid w:val="00C65F9B"/>
    <w:rsid w:val="00C66A8C"/>
    <w:rsid w:val="00C70168"/>
    <w:rsid w:val="00C70F21"/>
    <w:rsid w:val="00C71935"/>
    <w:rsid w:val="00C72875"/>
    <w:rsid w:val="00C72993"/>
    <w:rsid w:val="00C74245"/>
    <w:rsid w:val="00C757DA"/>
    <w:rsid w:val="00C77A95"/>
    <w:rsid w:val="00C80569"/>
    <w:rsid w:val="00C81A60"/>
    <w:rsid w:val="00C82864"/>
    <w:rsid w:val="00C86D95"/>
    <w:rsid w:val="00C903C3"/>
    <w:rsid w:val="00C9086C"/>
    <w:rsid w:val="00C91170"/>
    <w:rsid w:val="00C91FF9"/>
    <w:rsid w:val="00C92F43"/>
    <w:rsid w:val="00C944E5"/>
    <w:rsid w:val="00C96FC0"/>
    <w:rsid w:val="00CA30D7"/>
    <w:rsid w:val="00CA4F90"/>
    <w:rsid w:val="00CB25E7"/>
    <w:rsid w:val="00CB3AE8"/>
    <w:rsid w:val="00CB3EA3"/>
    <w:rsid w:val="00CB5D2C"/>
    <w:rsid w:val="00CC14E4"/>
    <w:rsid w:val="00CC2443"/>
    <w:rsid w:val="00CD11BC"/>
    <w:rsid w:val="00CD1675"/>
    <w:rsid w:val="00CD399D"/>
    <w:rsid w:val="00CD4642"/>
    <w:rsid w:val="00CD5308"/>
    <w:rsid w:val="00CD74E1"/>
    <w:rsid w:val="00CE2266"/>
    <w:rsid w:val="00CE5E6E"/>
    <w:rsid w:val="00CE618F"/>
    <w:rsid w:val="00CE6508"/>
    <w:rsid w:val="00CF77E7"/>
    <w:rsid w:val="00CF7E4F"/>
    <w:rsid w:val="00D023FE"/>
    <w:rsid w:val="00D0487F"/>
    <w:rsid w:val="00D101F0"/>
    <w:rsid w:val="00D1209D"/>
    <w:rsid w:val="00D122FC"/>
    <w:rsid w:val="00D13AEB"/>
    <w:rsid w:val="00D14674"/>
    <w:rsid w:val="00D14BFB"/>
    <w:rsid w:val="00D15139"/>
    <w:rsid w:val="00D178DE"/>
    <w:rsid w:val="00D202DB"/>
    <w:rsid w:val="00D20BEE"/>
    <w:rsid w:val="00D21A57"/>
    <w:rsid w:val="00D2210B"/>
    <w:rsid w:val="00D222CE"/>
    <w:rsid w:val="00D252DC"/>
    <w:rsid w:val="00D3737D"/>
    <w:rsid w:val="00D37406"/>
    <w:rsid w:val="00D377BF"/>
    <w:rsid w:val="00D4207E"/>
    <w:rsid w:val="00D44386"/>
    <w:rsid w:val="00D444F3"/>
    <w:rsid w:val="00D4554B"/>
    <w:rsid w:val="00D4566B"/>
    <w:rsid w:val="00D52C60"/>
    <w:rsid w:val="00D530AF"/>
    <w:rsid w:val="00D54B07"/>
    <w:rsid w:val="00D55776"/>
    <w:rsid w:val="00D60772"/>
    <w:rsid w:val="00D60B47"/>
    <w:rsid w:val="00D616FD"/>
    <w:rsid w:val="00D6281A"/>
    <w:rsid w:val="00D64B7E"/>
    <w:rsid w:val="00D719F3"/>
    <w:rsid w:val="00D721B4"/>
    <w:rsid w:val="00D74F18"/>
    <w:rsid w:val="00D81C3D"/>
    <w:rsid w:val="00D82CD2"/>
    <w:rsid w:val="00D83463"/>
    <w:rsid w:val="00D83650"/>
    <w:rsid w:val="00D87EE7"/>
    <w:rsid w:val="00D91482"/>
    <w:rsid w:val="00D9267E"/>
    <w:rsid w:val="00D92D78"/>
    <w:rsid w:val="00D932EE"/>
    <w:rsid w:val="00D94B63"/>
    <w:rsid w:val="00D94EA0"/>
    <w:rsid w:val="00D95FE5"/>
    <w:rsid w:val="00D96622"/>
    <w:rsid w:val="00D9708A"/>
    <w:rsid w:val="00DA1925"/>
    <w:rsid w:val="00DA35CA"/>
    <w:rsid w:val="00DA70FF"/>
    <w:rsid w:val="00DB0CCF"/>
    <w:rsid w:val="00DB4518"/>
    <w:rsid w:val="00DB69F4"/>
    <w:rsid w:val="00DB6B93"/>
    <w:rsid w:val="00DB6C2C"/>
    <w:rsid w:val="00DC0A4B"/>
    <w:rsid w:val="00DC0E9B"/>
    <w:rsid w:val="00DC21CC"/>
    <w:rsid w:val="00DC73F9"/>
    <w:rsid w:val="00DC7CCD"/>
    <w:rsid w:val="00DD19B7"/>
    <w:rsid w:val="00DD22BC"/>
    <w:rsid w:val="00DD2998"/>
    <w:rsid w:val="00DE279C"/>
    <w:rsid w:val="00DE52B4"/>
    <w:rsid w:val="00DE605E"/>
    <w:rsid w:val="00DF14B1"/>
    <w:rsid w:val="00DF1A59"/>
    <w:rsid w:val="00DF35B5"/>
    <w:rsid w:val="00DF5F69"/>
    <w:rsid w:val="00DF641D"/>
    <w:rsid w:val="00DF761C"/>
    <w:rsid w:val="00E0152C"/>
    <w:rsid w:val="00E05300"/>
    <w:rsid w:val="00E06B2D"/>
    <w:rsid w:val="00E06E06"/>
    <w:rsid w:val="00E108C6"/>
    <w:rsid w:val="00E12664"/>
    <w:rsid w:val="00E1274D"/>
    <w:rsid w:val="00E13203"/>
    <w:rsid w:val="00E135BE"/>
    <w:rsid w:val="00E13CA2"/>
    <w:rsid w:val="00E14D5C"/>
    <w:rsid w:val="00E15AF3"/>
    <w:rsid w:val="00E161D1"/>
    <w:rsid w:val="00E1689F"/>
    <w:rsid w:val="00E17254"/>
    <w:rsid w:val="00E212BE"/>
    <w:rsid w:val="00E21FA4"/>
    <w:rsid w:val="00E22D24"/>
    <w:rsid w:val="00E22F24"/>
    <w:rsid w:val="00E2382F"/>
    <w:rsid w:val="00E24E5D"/>
    <w:rsid w:val="00E3217C"/>
    <w:rsid w:val="00E36741"/>
    <w:rsid w:val="00E373AE"/>
    <w:rsid w:val="00E41597"/>
    <w:rsid w:val="00E4172D"/>
    <w:rsid w:val="00E4182E"/>
    <w:rsid w:val="00E50413"/>
    <w:rsid w:val="00E55935"/>
    <w:rsid w:val="00E57237"/>
    <w:rsid w:val="00E63F89"/>
    <w:rsid w:val="00E64BFD"/>
    <w:rsid w:val="00E64C4D"/>
    <w:rsid w:val="00E64EBF"/>
    <w:rsid w:val="00E70383"/>
    <w:rsid w:val="00E709DB"/>
    <w:rsid w:val="00E70F83"/>
    <w:rsid w:val="00E75B4B"/>
    <w:rsid w:val="00E8016B"/>
    <w:rsid w:val="00E80617"/>
    <w:rsid w:val="00E8163D"/>
    <w:rsid w:val="00E85B61"/>
    <w:rsid w:val="00E87088"/>
    <w:rsid w:val="00E94BF9"/>
    <w:rsid w:val="00E95E66"/>
    <w:rsid w:val="00E966C3"/>
    <w:rsid w:val="00E97D6F"/>
    <w:rsid w:val="00E97EB0"/>
    <w:rsid w:val="00EA42FC"/>
    <w:rsid w:val="00EA5D2D"/>
    <w:rsid w:val="00EA7412"/>
    <w:rsid w:val="00EB67DA"/>
    <w:rsid w:val="00EC29B6"/>
    <w:rsid w:val="00EC2A81"/>
    <w:rsid w:val="00EC2E26"/>
    <w:rsid w:val="00EC6399"/>
    <w:rsid w:val="00EC7B6C"/>
    <w:rsid w:val="00ED00C1"/>
    <w:rsid w:val="00ED059D"/>
    <w:rsid w:val="00ED11DD"/>
    <w:rsid w:val="00ED3579"/>
    <w:rsid w:val="00ED36C0"/>
    <w:rsid w:val="00ED6C3E"/>
    <w:rsid w:val="00ED6EE5"/>
    <w:rsid w:val="00ED7EF1"/>
    <w:rsid w:val="00EE610D"/>
    <w:rsid w:val="00EE642A"/>
    <w:rsid w:val="00EE6A58"/>
    <w:rsid w:val="00EF1B48"/>
    <w:rsid w:val="00EF59D3"/>
    <w:rsid w:val="00EF7BA0"/>
    <w:rsid w:val="00F00288"/>
    <w:rsid w:val="00F03745"/>
    <w:rsid w:val="00F03899"/>
    <w:rsid w:val="00F064AD"/>
    <w:rsid w:val="00F10329"/>
    <w:rsid w:val="00F12718"/>
    <w:rsid w:val="00F12B22"/>
    <w:rsid w:val="00F13C9F"/>
    <w:rsid w:val="00F14EF6"/>
    <w:rsid w:val="00F16E43"/>
    <w:rsid w:val="00F16FED"/>
    <w:rsid w:val="00F17570"/>
    <w:rsid w:val="00F20D57"/>
    <w:rsid w:val="00F22550"/>
    <w:rsid w:val="00F23334"/>
    <w:rsid w:val="00F2519F"/>
    <w:rsid w:val="00F2738E"/>
    <w:rsid w:val="00F3016E"/>
    <w:rsid w:val="00F379AA"/>
    <w:rsid w:val="00F44761"/>
    <w:rsid w:val="00F46AB3"/>
    <w:rsid w:val="00F474B2"/>
    <w:rsid w:val="00F50369"/>
    <w:rsid w:val="00F50692"/>
    <w:rsid w:val="00F5173D"/>
    <w:rsid w:val="00F52276"/>
    <w:rsid w:val="00F543CE"/>
    <w:rsid w:val="00F55F0D"/>
    <w:rsid w:val="00F565B8"/>
    <w:rsid w:val="00F575A7"/>
    <w:rsid w:val="00F60831"/>
    <w:rsid w:val="00F63164"/>
    <w:rsid w:val="00F65AD3"/>
    <w:rsid w:val="00F70531"/>
    <w:rsid w:val="00F71128"/>
    <w:rsid w:val="00F71E53"/>
    <w:rsid w:val="00F72EFC"/>
    <w:rsid w:val="00F768AB"/>
    <w:rsid w:val="00F76A08"/>
    <w:rsid w:val="00F81D9A"/>
    <w:rsid w:val="00F85DCD"/>
    <w:rsid w:val="00F875D2"/>
    <w:rsid w:val="00F90490"/>
    <w:rsid w:val="00F93577"/>
    <w:rsid w:val="00F94AE4"/>
    <w:rsid w:val="00F97389"/>
    <w:rsid w:val="00F976AC"/>
    <w:rsid w:val="00F97B09"/>
    <w:rsid w:val="00FA12AD"/>
    <w:rsid w:val="00FA1C85"/>
    <w:rsid w:val="00FA3864"/>
    <w:rsid w:val="00FA43C3"/>
    <w:rsid w:val="00FA48E5"/>
    <w:rsid w:val="00FA6964"/>
    <w:rsid w:val="00FA6D1C"/>
    <w:rsid w:val="00FB19A9"/>
    <w:rsid w:val="00FC097D"/>
    <w:rsid w:val="00FC0A54"/>
    <w:rsid w:val="00FC2F2E"/>
    <w:rsid w:val="00FC3A41"/>
    <w:rsid w:val="00FD314F"/>
    <w:rsid w:val="00FD3F68"/>
    <w:rsid w:val="00FD6099"/>
    <w:rsid w:val="00FD668C"/>
    <w:rsid w:val="00FD6BBF"/>
    <w:rsid w:val="00FD707C"/>
    <w:rsid w:val="00FE51BD"/>
    <w:rsid w:val="00FE5DC3"/>
    <w:rsid w:val="00FF1779"/>
    <w:rsid w:val="00FF1915"/>
    <w:rsid w:val="00FF2340"/>
    <w:rsid w:val="00FF60C7"/>
    <w:rsid w:val="00FF7392"/>
    <w:rsid w:val="011410E7"/>
    <w:rsid w:val="043D4CEA"/>
    <w:rsid w:val="07FCAF46"/>
    <w:rsid w:val="083A6877"/>
    <w:rsid w:val="0FFF56ED"/>
    <w:rsid w:val="15F75E2A"/>
    <w:rsid w:val="1CF777BC"/>
    <w:rsid w:val="1D2867D2"/>
    <w:rsid w:val="1D8C74AB"/>
    <w:rsid w:val="1E7B92E2"/>
    <w:rsid w:val="1ECE980F"/>
    <w:rsid w:val="1ED24BFE"/>
    <w:rsid w:val="1EE4EA2E"/>
    <w:rsid w:val="1FB135F0"/>
    <w:rsid w:val="1FB35954"/>
    <w:rsid w:val="1FFFC365"/>
    <w:rsid w:val="24AB4F29"/>
    <w:rsid w:val="273E7C3F"/>
    <w:rsid w:val="2F314E0D"/>
    <w:rsid w:val="2F6A0767"/>
    <w:rsid w:val="2F9DAF5B"/>
    <w:rsid w:val="2FCD3C5B"/>
    <w:rsid w:val="2FEFDF03"/>
    <w:rsid w:val="37DBFD11"/>
    <w:rsid w:val="37F301F0"/>
    <w:rsid w:val="399E0F98"/>
    <w:rsid w:val="3AF16714"/>
    <w:rsid w:val="3B5785BA"/>
    <w:rsid w:val="3BF6E704"/>
    <w:rsid w:val="3BFEF2F9"/>
    <w:rsid w:val="3C6B26BF"/>
    <w:rsid w:val="3CF34F3D"/>
    <w:rsid w:val="3D416FFF"/>
    <w:rsid w:val="3EDFFD37"/>
    <w:rsid w:val="3EFB50EA"/>
    <w:rsid w:val="3EFE7B14"/>
    <w:rsid w:val="3F75D965"/>
    <w:rsid w:val="3F7FB1A7"/>
    <w:rsid w:val="465327CE"/>
    <w:rsid w:val="47D2A742"/>
    <w:rsid w:val="48A045AB"/>
    <w:rsid w:val="4D1709C3"/>
    <w:rsid w:val="4E18491A"/>
    <w:rsid w:val="4F6A2AE2"/>
    <w:rsid w:val="53CF8E23"/>
    <w:rsid w:val="57082ED7"/>
    <w:rsid w:val="5B7BB631"/>
    <w:rsid w:val="5BDD84A4"/>
    <w:rsid w:val="5CBD157E"/>
    <w:rsid w:val="5D874307"/>
    <w:rsid w:val="5DC12740"/>
    <w:rsid w:val="5DC444B5"/>
    <w:rsid w:val="5E8A1757"/>
    <w:rsid w:val="5EF6F2AA"/>
    <w:rsid w:val="5F9D10C3"/>
    <w:rsid w:val="5FCF888A"/>
    <w:rsid w:val="5FE3A2A0"/>
    <w:rsid w:val="5FEB7318"/>
    <w:rsid w:val="5FFE4171"/>
    <w:rsid w:val="60A76D6C"/>
    <w:rsid w:val="65A36AF5"/>
    <w:rsid w:val="66EF0D66"/>
    <w:rsid w:val="67FF8FD4"/>
    <w:rsid w:val="6BAFD326"/>
    <w:rsid w:val="6CA2561E"/>
    <w:rsid w:val="6CEF788F"/>
    <w:rsid w:val="6ECF23D3"/>
    <w:rsid w:val="6EFE6242"/>
    <w:rsid w:val="6F7F5CAB"/>
    <w:rsid w:val="6FDF4FF7"/>
    <w:rsid w:val="6FF7E137"/>
    <w:rsid w:val="72D52371"/>
    <w:rsid w:val="733345C5"/>
    <w:rsid w:val="734B59DC"/>
    <w:rsid w:val="754C1394"/>
    <w:rsid w:val="75DDC8E3"/>
    <w:rsid w:val="767E1D1A"/>
    <w:rsid w:val="771FD958"/>
    <w:rsid w:val="773D54ED"/>
    <w:rsid w:val="77547B74"/>
    <w:rsid w:val="775A5C95"/>
    <w:rsid w:val="77B12856"/>
    <w:rsid w:val="77EF276A"/>
    <w:rsid w:val="794FFFD6"/>
    <w:rsid w:val="79B96437"/>
    <w:rsid w:val="7AA226C9"/>
    <w:rsid w:val="7B52B74B"/>
    <w:rsid w:val="7B9F29D0"/>
    <w:rsid w:val="7CFE5558"/>
    <w:rsid w:val="7DBF6B6F"/>
    <w:rsid w:val="7DDD0914"/>
    <w:rsid w:val="7DDF116F"/>
    <w:rsid w:val="7DDFEDD2"/>
    <w:rsid w:val="7E06559B"/>
    <w:rsid w:val="7E99860A"/>
    <w:rsid w:val="7EAF5A17"/>
    <w:rsid w:val="7EFF5099"/>
    <w:rsid w:val="7F2FA209"/>
    <w:rsid w:val="7F331C42"/>
    <w:rsid w:val="7FBF4657"/>
    <w:rsid w:val="7FCEC2CE"/>
    <w:rsid w:val="7FE795D7"/>
    <w:rsid w:val="7FF6D10C"/>
    <w:rsid w:val="7FF7B768"/>
    <w:rsid w:val="7FFB7B4C"/>
    <w:rsid w:val="970F402E"/>
    <w:rsid w:val="99CB9C86"/>
    <w:rsid w:val="9E9F5544"/>
    <w:rsid w:val="9EAE0A1F"/>
    <w:rsid w:val="A4F7FFCD"/>
    <w:rsid w:val="A57D7A37"/>
    <w:rsid w:val="AE7EE43C"/>
    <w:rsid w:val="AFEF0C75"/>
    <w:rsid w:val="B377157C"/>
    <w:rsid w:val="B73FADBB"/>
    <w:rsid w:val="B7E95802"/>
    <w:rsid w:val="B7FE827D"/>
    <w:rsid w:val="BB7C2B12"/>
    <w:rsid w:val="BBCFEBEE"/>
    <w:rsid w:val="BDFE0D53"/>
    <w:rsid w:val="BFFA94C7"/>
    <w:rsid w:val="CBFF2A9A"/>
    <w:rsid w:val="CF391BA0"/>
    <w:rsid w:val="CF6EEBA5"/>
    <w:rsid w:val="D7FF988F"/>
    <w:rsid w:val="DBFD741C"/>
    <w:rsid w:val="DD3364F8"/>
    <w:rsid w:val="DE97F2A9"/>
    <w:rsid w:val="E5FF2AEC"/>
    <w:rsid w:val="E67FEAA7"/>
    <w:rsid w:val="E7EDE105"/>
    <w:rsid w:val="EA0F6FCF"/>
    <w:rsid w:val="EBBC95F4"/>
    <w:rsid w:val="EC2F37CD"/>
    <w:rsid w:val="ECEDE61C"/>
    <w:rsid w:val="ED57C315"/>
    <w:rsid w:val="EF5F6F34"/>
    <w:rsid w:val="EFB6883B"/>
    <w:rsid w:val="EFBEF1FC"/>
    <w:rsid w:val="EFEDBB27"/>
    <w:rsid w:val="EFFFA76B"/>
    <w:rsid w:val="EFFFFE2B"/>
    <w:rsid w:val="F5BB4D20"/>
    <w:rsid w:val="F5BDCC56"/>
    <w:rsid w:val="F7612C71"/>
    <w:rsid w:val="F7FF4AEF"/>
    <w:rsid w:val="F8FD54D5"/>
    <w:rsid w:val="F9B86281"/>
    <w:rsid w:val="FB6FCC7F"/>
    <w:rsid w:val="FB761927"/>
    <w:rsid w:val="FBDC9E00"/>
    <w:rsid w:val="FBF3FB91"/>
    <w:rsid w:val="FBFBE435"/>
    <w:rsid w:val="FBFCC334"/>
    <w:rsid w:val="FCDC0A11"/>
    <w:rsid w:val="FDBDEDEF"/>
    <w:rsid w:val="FDF6537B"/>
    <w:rsid w:val="FF7A5296"/>
    <w:rsid w:val="FFBF6EB1"/>
    <w:rsid w:val="FFBF77F3"/>
    <w:rsid w:val="FFDBC926"/>
    <w:rsid w:val="FFF88052"/>
    <w:rsid w:val="FFFB0A95"/>
    <w:rsid w:val="FFFBBC27"/>
    <w:rsid w:val="FFFDB212"/>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kern w:val="2"/>
      <w:sz w:val="21"/>
      <w:szCs w:val="24"/>
      <w:lang w:val="en-US" w:eastAsia="zh-CN" w:bidi="ar-SA"/>
    </w:rPr>
  </w:style>
  <w:style w:type="paragraph" w:styleId="3">
    <w:name w:val="heading 2"/>
    <w:basedOn w:val="1"/>
    <w:next w:val="1"/>
    <w:unhideWhenUsed/>
    <w:qFormat/>
    <w:uiPriority w:val="0"/>
    <w:pPr>
      <w:keepNext/>
      <w:keepLines/>
      <w:adjustRightInd w:val="0"/>
      <w:snapToGrid w:val="0"/>
      <w:spacing w:before="50" w:beforeLines="50" w:after="50" w:afterLines="50" w:line="588" w:lineRule="exact"/>
      <w:ind w:firstLine="200" w:firstLineChars="200"/>
      <w:outlineLvl w:val="1"/>
    </w:pPr>
    <w:rPr>
      <w:rFonts w:ascii="Calibri Light" w:hAnsi="Calibri Light" w:eastAsia="黑体" w:cs="Times New Roman"/>
      <w:b/>
      <w:bCs/>
      <w:sz w:val="36"/>
      <w:szCs w:val="32"/>
      <w:lang w:bidi="ar-SA"/>
    </w:rPr>
  </w:style>
  <w:style w:type="character" w:default="1" w:styleId="10">
    <w:name w:val="Default Paragraph Font"/>
    <w:semiHidden/>
    <w:uiPriority w:val="0"/>
  </w:style>
  <w:style w:type="table" w:default="1" w:styleId="12">
    <w:name w:val="Normal Table"/>
    <w:semiHidden/>
    <w:uiPriority w:val="0"/>
    <w:tblPr>
      <w:tblStyle w:val="12"/>
      <w:tblLayout w:type="fixed"/>
      <w:tblCellMar>
        <w:top w:w="0" w:type="dxa"/>
        <w:left w:w="108" w:type="dxa"/>
        <w:bottom w:w="0" w:type="dxa"/>
        <w:right w:w="108" w:type="dxa"/>
      </w:tblCellMar>
    </w:tblPr>
  </w:style>
  <w:style w:type="paragraph" w:styleId="2">
    <w:name w:val="Title"/>
    <w:basedOn w:val="1"/>
    <w:next w:val="1"/>
    <w:qFormat/>
    <w:uiPriority w:val="0"/>
    <w:pPr>
      <w:spacing w:before="240" w:after="60"/>
      <w:jc w:val="center"/>
      <w:outlineLvl w:val="0"/>
    </w:pPr>
    <w:rPr>
      <w:rFonts w:ascii="Calibri Light" w:hAnsi="Calibri Light" w:eastAsia="宋体" w:cs="宋体"/>
      <w:b/>
      <w:bCs/>
      <w:sz w:val="32"/>
      <w:szCs w:val="32"/>
      <w:lang w:bidi="ar-SA"/>
    </w:rPr>
  </w:style>
  <w:style w:type="paragraph" w:styleId="4">
    <w:name w:val="annotation text"/>
    <w:basedOn w:val="1"/>
    <w:qFormat/>
    <w:uiPriority w:val="0"/>
    <w:pPr>
      <w:jc w:val="left"/>
    </w:pPr>
    <w:rPr>
      <w:rFonts w:ascii="Calibri" w:hAnsi="Calibri" w:eastAsia="宋体" w:cs="Times New Roman"/>
      <w:szCs w:val="24"/>
      <w:lang w:bidi="ar-SA"/>
    </w:rPr>
  </w:style>
  <w:style w:type="paragraph" w:styleId="5">
    <w:name w:val="Date"/>
    <w:basedOn w:val="1"/>
    <w:next w:val="1"/>
    <w:link w:val="15"/>
    <w:uiPriority w:val="0"/>
    <w:pPr>
      <w:ind w:left="100" w:leftChars="2500"/>
    </w:pPr>
    <w:rPr>
      <w:rFonts w:ascii="仿宋_GB2312" w:eastAsia="仿宋_GB2312"/>
      <w:sz w:val="32"/>
    </w:rPr>
  </w:style>
  <w:style w:type="paragraph" w:styleId="6">
    <w:name w:val="Balloon Text"/>
    <w:basedOn w:val="1"/>
    <w:semiHidden/>
    <w:uiPriority w:val="0"/>
    <w:rPr>
      <w:sz w:val="18"/>
      <w:szCs w:val="18"/>
    </w:rPr>
  </w:style>
  <w:style w:type="paragraph" w:styleId="7">
    <w:name w:val="footer"/>
    <w:basedOn w:val="1"/>
    <w:link w:val="16"/>
    <w:uiPriority w:val="0"/>
    <w:pPr>
      <w:tabs>
        <w:tab w:val="center" w:pos="4153"/>
        <w:tab w:val="right" w:pos="8306"/>
      </w:tabs>
      <w:snapToGrid w:val="0"/>
      <w:jc w:val="left"/>
    </w:pPr>
    <w:rPr>
      <w:sz w:val="18"/>
      <w:szCs w:val="18"/>
    </w:rPr>
  </w:style>
  <w:style w:type="paragraph" w:styleId="8">
    <w:name w:val="header"/>
    <w:basedOn w:val="1"/>
    <w:link w:val="17"/>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spacing w:before="100" w:beforeAutospacing="1" w:after="100" w:afterAutospacing="1"/>
      <w:ind w:left="0" w:right="0"/>
      <w:jc w:val="left"/>
    </w:pPr>
    <w:rPr>
      <w:rFonts w:ascii="Calibri" w:hAnsi="Calibri" w:eastAsia="宋体" w:cs="Times New Roman"/>
      <w:kern w:val="0"/>
      <w:sz w:val="24"/>
      <w:szCs w:val="24"/>
      <w:lang w:val="en-US" w:eastAsia="zh-CN" w:bidi="ar"/>
    </w:rPr>
  </w:style>
  <w:style w:type="character" w:styleId="11">
    <w:name w:val="page number"/>
    <w:basedOn w:val="10"/>
    <w:uiPriority w:val="0"/>
  </w:style>
  <w:style w:type="table" w:styleId="13">
    <w:name w:val="Table Grid"/>
    <w:basedOn w:val="12"/>
    <w:uiPriority w:val="0"/>
    <w:pPr>
      <w:widowControl w:val="0"/>
      <w:jc w:val="both"/>
    </w:p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14">
    <w:name w:val="正文1"/>
    <w:basedOn w:val="1"/>
    <w:qFormat/>
    <w:uiPriority w:val="0"/>
    <w:pPr>
      <w:adjustRightInd w:val="0"/>
      <w:snapToGrid w:val="0"/>
      <w:spacing w:line="360" w:lineRule="auto"/>
      <w:ind w:firstLine="200" w:firstLineChars="200"/>
    </w:pPr>
    <w:rPr>
      <w:rFonts w:ascii="Calibri" w:hAnsi="Calibri" w:eastAsia="宋体" w:cs="Times New Roman"/>
      <w:szCs w:val="24"/>
      <w:lang w:bidi="ar-SA"/>
    </w:rPr>
  </w:style>
  <w:style w:type="character" w:customStyle="1" w:styleId="15">
    <w:name w:val=" Char Char1"/>
    <w:basedOn w:val="10"/>
    <w:link w:val="5"/>
    <w:uiPriority w:val="0"/>
    <w:rPr>
      <w:rFonts w:ascii="仿宋_GB2312" w:hAnsi="Times New Roman" w:eastAsia="仿宋_GB2312" w:cs="Times New Roman"/>
      <w:kern w:val="2"/>
      <w:sz w:val="32"/>
      <w:szCs w:val="24"/>
      <w:lang w:bidi="ar-SA"/>
    </w:rPr>
  </w:style>
  <w:style w:type="character" w:customStyle="1" w:styleId="16">
    <w:name w:val=" Char Char2"/>
    <w:basedOn w:val="10"/>
    <w:link w:val="7"/>
    <w:semiHidden/>
    <w:uiPriority w:val="99"/>
    <w:rPr>
      <w:rFonts w:ascii="Times New Roman" w:hAnsi="Times New Roman" w:eastAsia="宋体" w:cs="Times New Roman"/>
      <w:kern w:val="2"/>
      <w:sz w:val="18"/>
      <w:szCs w:val="22"/>
    </w:rPr>
  </w:style>
  <w:style w:type="character" w:customStyle="1" w:styleId="17">
    <w:name w:val=" Char Char"/>
    <w:basedOn w:val="10"/>
    <w:link w:val="8"/>
    <w:semiHidden/>
    <w:uiPriority w:val="99"/>
    <w:rPr>
      <w:rFonts w:ascii="Times New Roman" w:hAnsi="Times New Roman" w:eastAsia="宋体" w:cs="Times New Roman"/>
      <w:kern w:val="2"/>
      <w:sz w:val="18"/>
      <w:szCs w:val="22"/>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2.xml"/><Relationship Id="rId7" Type="http://schemas.openxmlformats.org/officeDocument/2006/relationships/header" Target="header1.xml"/><Relationship Id="rId6" Type="http://schemas.openxmlformats.org/officeDocument/2006/relationships/footer" Target="footer2.xml"/><Relationship Id="rId5" Type="http://schemas.openxmlformats.org/officeDocument/2006/relationships/footer" Target="footer1.xml"/><Relationship Id="rId4" Type="http://schemas.microsoft.com/office/2011/relationships/commentsExtended" Target="commentsExtended.xml"/><Relationship Id="rId30" Type="http://schemas.microsoft.com/office/2011/relationships/people" Target="people.xml"/><Relationship Id="rId3" Type="http://schemas.openxmlformats.org/officeDocument/2006/relationships/comments" Target="comments.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15.tiff"/><Relationship Id="rId25" Type="http://schemas.openxmlformats.org/officeDocument/2006/relationships/image" Target="media/image14.tiff"/><Relationship Id="rId24" Type="http://schemas.openxmlformats.org/officeDocument/2006/relationships/image" Target="media/image13.tiff"/><Relationship Id="rId23" Type="http://schemas.openxmlformats.org/officeDocument/2006/relationships/image" Target="media/image12.tiff"/><Relationship Id="rId22" Type="http://schemas.openxmlformats.org/officeDocument/2006/relationships/image" Target="media/image11.tiff"/><Relationship Id="rId21" Type="http://schemas.openxmlformats.org/officeDocument/2006/relationships/image" Target="media/image10.tiff"/><Relationship Id="rId20" Type="http://schemas.openxmlformats.org/officeDocument/2006/relationships/image" Target="media/image9.tiff"/><Relationship Id="rId2" Type="http://schemas.openxmlformats.org/officeDocument/2006/relationships/settings" Target="settings.xml"/><Relationship Id="rId19" Type="http://schemas.openxmlformats.org/officeDocument/2006/relationships/image" Target="media/image8.tiff"/><Relationship Id="rId18" Type="http://schemas.openxmlformats.org/officeDocument/2006/relationships/image" Target="media/image7.tiff"/><Relationship Id="rId17" Type="http://schemas.openxmlformats.org/officeDocument/2006/relationships/image" Target="media/image6.tiff"/><Relationship Id="rId16" Type="http://schemas.openxmlformats.org/officeDocument/2006/relationships/image" Target="media/image5.tiff"/><Relationship Id="rId15" Type="http://schemas.openxmlformats.org/officeDocument/2006/relationships/image" Target="media/image4.tiff"/><Relationship Id="rId14" Type="http://schemas.openxmlformats.org/officeDocument/2006/relationships/image" Target="media/image3.tiff"/><Relationship Id="rId13" Type="http://schemas.openxmlformats.org/officeDocument/2006/relationships/image" Target="media/image2.tiff"/><Relationship Id="rId12" Type="http://schemas.openxmlformats.org/officeDocument/2006/relationships/image" Target="media/image1.tiff"/><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Lenovo (Beijing) Limited</Company>
  <Pages>2</Pages>
  <Words>13</Words>
  <Characters>76</Characters>
  <Lines>1</Lines>
  <Paragraphs>1</Paragraphs>
  <TotalTime>1</TotalTime>
  <ScaleCrop>false</ScaleCrop>
  <LinksUpToDate>false</LinksUpToDate>
  <CharactersWithSpaces>88</CharactersWithSpaces>
  <Application>WPS Office_10.1.0.7520_F1E327BC-269C-435d-A152-05C5408002CA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2012-11-18T14:51:00Z</dcterms:created>
  <dc:creator>王蕾:打印</dc:creator>
  <cp:lastModifiedBy>admin</cp:lastModifiedBy>
  <dcterms:modified xsi:type="dcterms:W3CDTF">2021-09-24T04:35:35Z</dcterms:modified>
  <dc:title>_x0001_</dc:title>
  <cp:revision>61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2052-10.1.0.7520</vt:lpwstr>
  </property>
</Properties>
</file>