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580" w:lineRule="exact"/>
        <w:ind w:left="0" w:leftChars="0"/>
        <w:rPr>
          <w:rFonts w:hint="eastAsia" w:ascii="黑体" w:hAnsi="黑体" w:eastAsia="黑体" w:cs="宋体"/>
          <w:bCs/>
          <w:color w:val="auto"/>
          <w:kern w:val="0"/>
          <w:sz w:val="32"/>
          <w:szCs w:val="32"/>
          <w:lang w:eastAsia="zh-CN"/>
        </w:rPr>
      </w:pPr>
      <w:r>
        <w:rPr>
          <w:rFonts w:hint="eastAsia" w:ascii="黑体" w:hAnsi="黑体" w:eastAsia="黑体" w:cs="宋体"/>
          <w:bCs/>
          <w:color w:val="auto"/>
          <w:kern w:val="0"/>
          <w:sz w:val="32"/>
          <w:szCs w:val="32"/>
        </w:rPr>
        <w:t>附件</w:t>
      </w:r>
      <w:r>
        <w:rPr>
          <w:rFonts w:hint="eastAsia" w:ascii="黑体" w:hAnsi="黑体" w:eastAsia="黑体" w:cs="宋体"/>
          <w:bCs/>
          <w:color w:val="auto"/>
          <w:kern w:val="0"/>
          <w:sz w:val="32"/>
          <w:szCs w:val="32"/>
          <w:lang w:val="en-US" w:eastAsia="zh-CN"/>
        </w:rPr>
        <w:t>2</w:t>
      </w:r>
    </w:p>
    <w:p>
      <w:pPr>
        <w:pStyle w:val="6"/>
        <w:keepNext w:val="0"/>
        <w:keepLines w:val="0"/>
        <w:pageBreakBefore w:val="0"/>
        <w:widowControl w:val="0"/>
        <w:wordWrap/>
        <w:overflowPunct/>
        <w:topLinePunct w:val="0"/>
        <w:bidi w:val="0"/>
        <w:spacing w:after="0" w:line="580" w:lineRule="exact"/>
        <w:ind w:left="0" w:leftChars="0"/>
        <w:rPr>
          <w:color w:val="auto"/>
        </w:rPr>
      </w:pPr>
    </w:p>
    <w:p>
      <w:pPr>
        <w:pStyle w:val="5"/>
        <w:keepNext w:val="0"/>
        <w:keepLines w:val="0"/>
        <w:pageBreakBefore w:val="0"/>
        <w:widowControl w:val="0"/>
        <w:shd w:val="clear" w:color="auto" w:fill="FFFFFF"/>
        <w:wordWrap/>
        <w:overflowPunct/>
        <w:topLinePunct w:val="0"/>
        <w:bidi w:val="0"/>
        <w:spacing w:before="0" w:beforeAutospacing="0" w:after="0" w:afterAutospacing="0" w:line="580" w:lineRule="exact"/>
        <w:ind w:left="0" w:leftChars="0"/>
        <w:jc w:val="center"/>
        <w:rPr>
          <w:rFonts w:hint="eastAsia" w:ascii="方正小标宋_GBK" w:hAnsi="方正小标宋_GBK" w:eastAsia="方正小标宋_GBK" w:cs="方正小标宋_GBK"/>
          <w:b/>
          <w:color w:val="auto"/>
          <w:spacing w:val="40"/>
          <w:sz w:val="44"/>
          <w:szCs w:val="44"/>
        </w:rPr>
      </w:pPr>
      <w:bookmarkStart w:id="0" w:name="_GoBack"/>
      <w:r>
        <w:rPr>
          <w:rStyle w:val="9"/>
          <w:rFonts w:hint="eastAsia" w:ascii="方正小标宋_GBK" w:hAnsi="方正小标宋_GBK" w:eastAsia="方正小标宋_GBK" w:cs="方正小标宋_GBK"/>
          <w:b w:val="0"/>
          <w:color w:val="auto"/>
          <w:spacing w:val="40"/>
          <w:sz w:val="44"/>
          <w:szCs w:val="44"/>
          <w:shd w:val="clear" w:color="auto" w:fill="FFFFFF"/>
        </w:rPr>
        <w:t>突发环境事件分级标准</w:t>
      </w:r>
    </w:p>
    <w:bookmarkEnd w:id="0"/>
    <w:p>
      <w:pPr>
        <w:pStyle w:val="5"/>
        <w:keepNext w:val="0"/>
        <w:keepLines w:val="0"/>
        <w:pageBreakBefore w:val="0"/>
        <w:widowControl w:val="0"/>
        <w:shd w:val="clear" w:color="auto" w:fill="FFFFFF"/>
        <w:wordWrap/>
        <w:overflowPunct/>
        <w:topLinePunct w:val="0"/>
        <w:bidi w:val="0"/>
        <w:spacing w:before="0" w:beforeAutospacing="0" w:after="0" w:afterAutospacing="0" w:line="580" w:lineRule="exact"/>
        <w:ind w:left="0" w:leftChars="0"/>
        <w:rPr>
          <w:rStyle w:val="9"/>
          <w:rFonts w:ascii="宋体" w:hAnsi="宋体" w:cs="宋体"/>
          <w:color w:val="auto"/>
          <w:sz w:val="32"/>
          <w:szCs w:val="32"/>
          <w:shd w:val="clear" w:color="auto" w:fill="FFFFFF"/>
        </w:rPr>
      </w:pPr>
    </w:p>
    <w:p>
      <w:pPr>
        <w:pStyle w:val="5"/>
        <w:keepNext w:val="0"/>
        <w:keepLines w:val="0"/>
        <w:pageBreakBefore w:val="0"/>
        <w:widowControl w:val="0"/>
        <w:shd w:val="clear" w:color="auto" w:fill="FFFFFF"/>
        <w:wordWrap/>
        <w:overflowPunct/>
        <w:topLinePunct w:val="0"/>
        <w:bidi w:val="0"/>
        <w:spacing w:before="0" w:beforeAutospacing="0" w:after="0" w:afterAutospacing="0" w:line="580" w:lineRule="exact"/>
        <w:ind w:left="0" w:leftChars="0" w:firstLine="640" w:firstLineChars="200"/>
        <w:outlineLvl w:val="1"/>
        <w:rPr>
          <w:rFonts w:hint="eastAsia" w:ascii="方正黑体_GBK" w:hAnsi="方正黑体_GBK" w:eastAsia="方正黑体_GBK" w:cs="方正黑体_GBK"/>
          <w:b/>
          <w:color w:val="auto"/>
          <w:sz w:val="32"/>
          <w:szCs w:val="32"/>
        </w:rPr>
      </w:pPr>
      <w:r>
        <w:rPr>
          <w:rStyle w:val="9"/>
          <w:rFonts w:hint="eastAsia" w:ascii="方正黑体_GBK" w:hAnsi="方正黑体_GBK" w:eastAsia="方正黑体_GBK" w:cs="方正黑体_GBK"/>
          <w:b w:val="0"/>
          <w:color w:val="auto"/>
          <w:sz w:val="32"/>
          <w:szCs w:val="32"/>
          <w:shd w:val="clear" w:color="auto" w:fill="FFFFFF"/>
        </w:rPr>
        <w:t>一、特别重大突发环境事件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符合下列情形之一的，为特别重大突发环境事件：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因环境污染直接导致30人以上死亡或100人以上中毒或重伤的；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因环境污染疏散、转移人员5万人以上的；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因环境污染造成直接经济损失1亿元以上的；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因环境污染造成区域生态功能丧失或该区域国家重点保护物种灭绝的；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因环境污染造成设区的市级以上城市集中式饮用水水源地取水中断的；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Ⅰ、Ⅱ类放射源丢失、被盗、失控并造成大范围严重辐射污染后果的；放射性同位素和射线装置失控导致3人以上急性死亡的；放射性物质泄漏，造成大范围辐射污染后果的；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wordWrap/>
        <w:overflowPunct/>
        <w:topLinePunct w:val="0"/>
        <w:bidi w:val="0"/>
        <w:spacing w:line="580" w:lineRule="exact"/>
        <w:ind w:left="0" w:leftChars="0" w:firstLine="640" w:firstLineChars="200"/>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造成重大跨国境影响的境内突发环境事件。</w:t>
      </w:r>
    </w:p>
    <w:p>
      <w:pPr>
        <w:pStyle w:val="5"/>
        <w:keepNext w:val="0"/>
        <w:keepLines w:val="0"/>
        <w:pageBreakBefore w:val="0"/>
        <w:widowControl w:val="0"/>
        <w:shd w:val="clear" w:color="auto" w:fill="FFFFFF"/>
        <w:wordWrap/>
        <w:overflowPunct/>
        <w:topLinePunct w:val="0"/>
        <w:bidi w:val="0"/>
        <w:spacing w:before="0" w:beforeAutospacing="0" w:after="0" w:afterAutospacing="0" w:line="580" w:lineRule="exact"/>
        <w:ind w:left="0" w:leftChars="0" w:firstLine="640" w:firstLineChars="200"/>
        <w:outlineLvl w:val="1"/>
        <w:rPr>
          <w:rFonts w:hint="eastAsia" w:ascii="方正黑体_GBK" w:hAnsi="方正黑体_GBK" w:eastAsia="方正黑体_GBK" w:cs="方正黑体_GBK"/>
          <w:b/>
          <w:color w:val="auto"/>
          <w:sz w:val="32"/>
          <w:szCs w:val="32"/>
        </w:rPr>
      </w:pPr>
      <w:r>
        <w:rPr>
          <w:rStyle w:val="9"/>
          <w:rFonts w:hint="eastAsia" w:ascii="方正黑体_GBK" w:hAnsi="方正黑体_GBK" w:eastAsia="方正黑体_GBK" w:cs="方正黑体_GBK"/>
          <w:b w:val="0"/>
          <w:color w:val="auto"/>
          <w:sz w:val="32"/>
          <w:szCs w:val="32"/>
          <w:shd w:val="clear" w:color="auto" w:fill="FFFFFF"/>
        </w:rPr>
        <w:t>二、重大突发环境事件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符合下列情形之一的，为重大突发环境事件：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因环境污染直接导致10人以上30人以下死亡或50人以上100人以下中毒或重伤的；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因环境污染疏散、转移人员1万人以上5万人以下的；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因环境污染造成直接经济损失2000万元以上1亿元以下的；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因环境污染造成区域生态功能部分丧失或该区域国家重点保护野生动植物种群大批死亡的；</w:t>
      </w:r>
    </w:p>
    <w:p>
      <w:pPr>
        <w:keepNext w:val="0"/>
        <w:keepLines w:val="0"/>
        <w:pageBreakBefore w:val="0"/>
        <w:widowControl w:val="0"/>
        <w:wordWrap/>
        <w:overflowPunct/>
        <w:topLinePunct w:val="0"/>
        <w:bidi w:val="0"/>
        <w:spacing w:line="580" w:lineRule="exact"/>
        <w:ind w:left="0" w:leftChars="0" w:firstLine="640" w:firstLineChars="200"/>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pacing w:val="-6"/>
          <w:sz w:val="32"/>
          <w:szCs w:val="32"/>
        </w:rPr>
        <w:t>因环境污染造成旗县集中式饮用水水源地取水中断的；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Ⅱ类放射源丢失、被盗的；放射性同位素和射线装置失控导致3人以下急性死亡或者10人以上急性重度放射病、局部器官残疾的；放射性物质泄漏，造成较大范围辐射污染后果的；</w:t>
      </w:r>
    </w:p>
    <w:p>
      <w:pPr>
        <w:keepNext w:val="0"/>
        <w:keepLines w:val="0"/>
        <w:pageBreakBefore w:val="0"/>
        <w:widowControl w:val="0"/>
        <w:wordWrap/>
        <w:overflowPunct/>
        <w:topLinePunct w:val="0"/>
        <w:bidi w:val="0"/>
        <w:spacing w:line="580" w:lineRule="exact"/>
        <w:ind w:left="0" w:leftChars="0" w:firstLine="640" w:firstLineChars="200"/>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造成跨省级行政区域影响的突发环境事件。</w:t>
      </w:r>
    </w:p>
    <w:p>
      <w:pPr>
        <w:pStyle w:val="5"/>
        <w:keepNext w:val="0"/>
        <w:keepLines w:val="0"/>
        <w:pageBreakBefore w:val="0"/>
        <w:widowControl w:val="0"/>
        <w:shd w:val="clear" w:color="auto" w:fill="FFFFFF"/>
        <w:wordWrap/>
        <w:overflowPunct/>
        <w:topLinePunct w:val="0"/>
        <w:bidi w:val="0"/>
        <w:spacing w:before="0" w:beforeAutospacing="0" w:after="0" w:afterAutospacing="0" w:line="580" w:lineRule="exact"/>
        <w:ind w:left="0" w:leftChars="0" w:firstLine="640" w:firstLineChars="200"/>
        <w:outlineLvl w:val="1"/>
        <w:rPr>
          <w:rFonts w:hint="eastAsia" w:ascii="方正黑体_GBK" w:hAnsi="方正黑体_GBK" w:eastAsia="方正黑体_GBK" w:cs="方正黑体_GBK"/>
          <w:b/>
          <w:color w:val="auto"/>
          <w:sz w:val="32"/>
          <w:szCs w:val="32"/>
        </w:rPr>
      </w:pPr>
      <w:r>
        <w:rPr>
          <w:rStyle w:val="9"/>
          <w:rFonts w:hint="eastAsia" w:ascii="方正黑体_GBK" w:hAnsi="方正黑体_GBK" w:eastAsia="方正黑体_GBK" w:cs="方正黑体_GBK"/>
          <w:b w:val="0"/>
          <w:color w:val="auto"/>
          <w:sz w:val="32"/>
          <w:szCs w:val="32"/>
          <w:shd w:val="clear" w:color="auto" w:fill="FFFFFF"/>
        </w:rPr>
        <w:t>三、较大突发环境事件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符合下列情形之一的，为较大突发环境事件：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因环境污染直接导致3人以上10人以下死亡或10人以上50人以下中毒或重伤的；</w:t>
      </w:r>
    </w:p>
    <w:p>
      <w:pPr>
        <w:keepNext w:val="0"/>
        <w:keepLines w:val="0"/>
        <w:pageBreakBefore w:val="0"/>
        <w:widowControl w:val="0"/>
        <w:wordWrap/>
        <w:overflowPunct/>
        <w:topLinePunct w:val="0"/>
        <w:bidi w:val="0"/>
        <w:spacing w:line="580" w:lineRule="exact"/>
        <w:ind w:left="0" w:leftChars="0" w:firstLine="640" w:firstLineChars="200"/>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环境污染疏散、转移人员5000人以上1万人以下的；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因环境污染造成直接经济损失500万元以上2000万元以下的；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pacing w:val="6"/>
          <w:sz w:val="32"/>
          <w:szCs w:val="32"/>
        </w:rPr>
        <w:t>因环境污染造成国家重点保护的动植物物种受到破坏的；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pacing w:val="-6"/>
          <w:sz w:val="32"/>
          <w:szCs w:val="32"/>
        </w:rPr>
        <w:t>因环境污染造成乡镇集中式饮用水水源地取水中断的；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Ⅲ类放射源丢失、被盗的；放射性同位素和射线装置失控导致10人以下急性重度放射病、局部器官残疾的；放射性物质泄漏，造成小范围辐射污染后果的；</w:t>
      </w:r>
    </w:p>
    <w:p>
      <w:pPr>
        <w:keepNext w:val="0"/>
        <w:keepLines w:val="0"/>
        <w:pageBreakBefore w:val="0"/>
        <w:widowControl w:val="0"/>
        <w:wordWrap/>
        <w:overflowPunct/>
        <w:topLinePunct w:val="0"/>
        <w:bidi w:val="0"/>
        <w:spacing w:line="580" w:lineRule="exact"/>
        <w:ind w:left="0" w:leftChars="0" w:firstLine="640" w:firstLineChars="200"/>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造成跨设区的市级行政区域影响的突发环境事件。</w:t>
      </w:r>
    </w:p>
    <w:p>
      <w:pPr>
        <w:pStyle w:val="5"/>
        <w:keepNext w:val="0"/>
        <w:keepLines w:val="0"/>
        <w:pageBreakBefore w:val="0"/>
        <w:widowControl w:val="0"/>
        <w:shd w:val="clear" w:color="auto" w:fill="FFFFFF"/>
        <w:wordWrap/>
        <w:overflowPunct/>
        <w:topLinePunct w:val="0"/>
        <w:bidi w:val="0"/>
        <w:spacing w:before="0" w:beforeAutospacing="0" w:after="0" w:afterAutospacing="0" w:line="580" w:lineRule="exact"/>
        <w:ind w:left="0" w:leftChars="0" w:firstLine="640" w:firstLineChars="200"/>
        <w:outlineLvl w:val="1"/>
        <w:rPr>
          <w:rFonts w:hint="eastAsia" w:ascii="方正黑体_GBK" w:hAnsi="方正黑体_GBK" w:eastAsia="方正黑体_GBK" w:cs="方正黑体_GBK"/>
          <w:b/>
          <w:color w:val="auto"/>
          <w:sz w:val="32"/>
          <w:szCs w:val="32"/>
        </w:rPr>
      </w:pPr>
      <w:r>
        <w:rPr>
          <w:rStyle w:val="9"/>
          <w:rFonts w:hint="eastAsia" w:ascii="方正黑体_GBK" w:hAnsi="方正黑体_GBK" w:eastAsia="方正黑体_GBK" w:cs="方正黑体_GBK"/>
          <w:b w:val="0"/>
          <w:color w:val="auto"/>
          <w:sz w:val="32"/>
          <w:szCs w:val="32"/>
          <w:shd w:val="clear" w:color="auto" w:fill="FFFFFF"/>
        </w:rPr>
        <w:t>四、一般突发环境事件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符合下列情形之一的，为一般突发环境事件：</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因环境污染直接导致3人以下死亡或10人以下中毒或重伤的；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因环境污染疏散、转移人员5000人以下的；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因环境污染造成直接经济损失500万元以下的；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因环境污染造成跨县级行政区域纠纷，引起一般性群体影响的；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wordWrap/>
        <w:overflowPunct/>
        <w:topLinePunct w:val="0"/>
        <w:bidi w:val="0"/>
        <w:spacing w:line="580" w:lineRule="exact"/>
        <w:ind w:left="0" w:leftChars="0" w:firstLine="640" w:firstLineChars="200"/>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对环境造成一定影响，尚未达到较大突发环境事件级别的。</w:t>
      </w:r>
    </w:p>
    <w:p>
      <w:pPr>
        <w:keepNext w:val="0"/>
        <w:keepLines w:val="0"/>
        <w:pageBreakBefore w:val="0"/>
        <w:widowControl w:val="0"/>
        <w:wordWrap/>
        <w:overflowPunct/>
        <w:topLinePunct w:val="0"/>
        <w:bidi w:val="0"/>
        <w:spacing w:line="580" w:lineRule="exact"/>
        <w:ind w:left="0"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上述分级标准有关数量的表述中，“以上”含本数，“以下”不含本数。</w:t>
      </w:r>
    </w:p>
    <w:p>
      <w:pPr>
        <w:keepNext w:val="0"/>
        <w:keepLines w:val="0"/>
        <w:pageBreakBefore w:val="0"/>
        <w:widowControl w:val="0"/>
        <w:wordWrap/>
        <w:overflowPunct/>
        <w:topLinePunct w:val="0"/>
        <w:bidi w:val="0"/>
        <w:spacing w:line="560" w:lineRule="exact"/>
        <w:rPr>
          <w:rFonts w:hint="eastAsia" w:ascii="仿宋_GB2312" w:hAnsi="仿宋_GB2312" w:eastAsia="仿宋_GB2312" w:cs="仿宋_GB2312"/>
          <w:b/>
          <w:bCs/>
          <w:color w:val="auto"/>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2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Zjk5NDFjN2E0NTZiZDgzNTc3NmI3N2IyMjUxOTYifQ=="/>
  </w:docVars>
  <w:rsids>
    <w:rsidRoot w:val="390637D0"/>
    <w:rsid w:val="39063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ascii="Calibri" w:hAnsi="Calibri" w:eastAsia="宋体" w:cs="Times New Roman"/>
      <w:szCs w:val="22"/>
      <w:lang w:bidi="ar-SA"/>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2"/>
      <w:lang w:bidi="ar-SA"/>
    </w:rPr>
  </w:style>
  <w:style w:type="paragraph" w:styleId="6">
    <w:name w:val="Body Text First Indent 2"/>
    <w:basedOn w:val="2"/>
    <w:next w:val="1"/>
    <w:qFormat/>
    <w:uiPriority w:val="99"/>
    <w:pPr>
      <w:widowControl w:val="0"/>
      <w:spacing w:line="500" w:lineRule="exact"/>
      <w:ind w:firstLine="420" w:firstLineChars="200"/>
      <w:jc w:val="both"/>
    </w:pPr>
    <w:rPr>
      <w:rFonts w:hint="eastAsia" w:ascii="仿宋_GB2312" w:hAnsi="Times New Roman" w:eastAsia="仿宋_GB2312" w:cs="Times New Roman"/>
      <w:kern w:val="2"/>
      <w:sz w:val="32"/>
      <w:szCs w:val="32"/>
      <w:lang w:val="en-US" w:eastAsia="zh-CN" w:bidi="ar-SA"/>
    </w:rPr>
  </w:style>
  <w:style w:type="character" w:styleId="9">
    <w:name w:val="Strong"/>
    <w:basedOn w:val="8"/>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2022-12-30T09:50:00Z</dcterms:created>
  <dc:creator>哈尼哈尼</dc:creator>
  <cp:lastModifiedBy>哈尼哈尼</cp:lastModifiedBy>
  <dcterms:modified xsi:type="dcterms:W3CDTF">2022-12-30T09:50:21Z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3D615ED09D034D73992FAF498B6CDF8D</vt:lpwstr>
  </property>
</Properties>
</file>