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 w:val="0"/>
        <w:snapToGrid w:val="0"/>
        <w:spacing w:after="0" w:line="580" w:lineRule="exact"/>
        <w:ind w:firstLine="0" w:firstLineChars="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 w:bidi="ar-SA"/>
        </w:rPr>
      </w:pPr>
      <w:bookmarkStart w:id="0" w:name="_Toc25357"/>
    </w:p>
    <w:p>
      <w:pPr>
        <w:pStyle w:val="3"/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 w:val="0"/>
        <w:snapToGrid w:val="0"/>
        <w:spacing w:after="0" w:line="58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 w:bidi="ar-SA"/>
        </w:rPr>
        <w:t>冶金等工贸行业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bidi="ar-SA"/>
        </w:rPr>
        <w:t>生产安全事故分级</w:t>
      </w:r>
      <w:bookmarkEnd w:id="0"/>
    </w:p>
    <w:p>
      <w:pPr>
        <w:keepNext w:val="0"/>
        <w:keepLines w:val="0"/>
        <w:pageBreakBefore w:val="0"/>
        <w:widowControl w:val="0"/>
        <w:tabs>
          <w:tab w:val="center" w:pos="4477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477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 w:bidi="ar-SA"/>
        </w:rPr>
        <w:t>一级（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bidi="ar-SA"/>
        </w:rPr>
        <w:t>特别重大事故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477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造成30人以上死亡，或者100人以上重伤（包括急性工业中毒，下同），或者1亿元以上直接经济损失的事故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477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 w:bidi="ar-SA"/>
        </w:rPr>
        <w:t>二级（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bidi="ar-SA"/>
        </w:rPr>
        <w:t>重大事故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477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造成10人以上30人以下死亡，或者50人以上100人以下重伤，或者5000万元以上1亿元以下直接经济损失的事故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477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 w:bidi="ar-SA"/>
        </w:rPr>
        <w:t>三级（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bidi="ar-SA"/>
        </w:rPr>
        <w:t>较大事故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477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造成3人以上10人以下死亡，或者10人以上50人以下重伤，或者1000万元以上5000万元以下直接经济损失的事故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477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 w:bidi="ar-SA"/>
        </w:rPr>
        <w:t>四级（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bidi="ar-SA"/>
        </w:rPr>
        <w:t>一般事故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477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t>造成3人以下死亡，或者10人以下重伤，或者1000万元以下直接经济损失的事故。</w:t>
      </w:r>
    </w:p>
    <w:p>
      <w:pPr>
        <w:keepNext w:val="0"/>
        <w:keepLines w:val="0"/>
        <w:pageBreakBefore w:val="0"/>
        <w:widowControl w:val="0"/>
        <w:tabs>
          <w:tab w:val="center" w:pos="4477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bidi="ar-SA"/>
        </w:rPr>
        <w:sectPr>
          <w:footerReference r:id="rId3" w:type="default"/>
          <w:footerReference r:id="rId4" w:type="even"/>
          <w:pgSz w:w="11906" w:h="16838"/>
          <w:pgMar w:top="2098" w:right="1474" w:bottom="1701" w:left="1474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highlight w:val="none"/>
          <w:lang w:bidi="ar-SA"/>
        </w:rPr>
        <w:t>上述有关数量的表述中，“以上”均含本数，“以下”不含本数。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706FE"/>
    <w:rsid w:val="017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next w:val="4"/>
    <w:uiPriority w:val="0"/>
    <w:pPr>
      <w:widowControl w:val="0"/>
      <w:spacing w:after="120"/>
      <w:ind w:firstLine="100" w:firstLineChars="1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customStyle="1" w:styleId="4">
    <w:name w:val="一级标题"/>
    <w:uiPriority w:val="0"/>
    <w:pPr>
      <w:widowControl w:val="0"/>
      <w:overflowPunct w:val="0"/>
      <w:snapToGrid w:val="0"/>
      <w:spacing w:line="600" w:lineRule="exact"/>
      <w:ind w:firstLine="200" w:firstLineChars="200"/>
      <w:jc w:val="both"/>
    </w:pPr>
    <w:rPr>
      <w:rFonts w:ascii="黑体" w:hAnsi="宋体" w:eastAsia="黑体" w:cs="黑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2023-02-07T07:13:00Z</dcterms:created>
  <dc:creator>zwfw</dc:creator>
  <cp:lastModifiedBy>zwfw</cp:lastModifiedBy>
  <dcterms:modified xsi:type="dcterms:W3CDTF">2023-02-07T07:13:28Z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