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  <w:t>3</w:t>
      </w:r>
    </w:p>
    <w:p>
      <w:pPr>
        <w:topLinePunct/>
        <w:spacing w:line="58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-SA"/>
        </w:rPr>
      </w:pP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非煤矿山生产安全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事故</w:t>
      </w: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现场指挥部组成及工作职责</w:t>
      </w:r>
    </w:p>
    <w:p>
      <w:pPr>
        <w:topLinePunct/>
        <w:spacing w:line="58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bidi="ar-SA"/>
        </w:rPr>
      </w:pPr>
    </w:p>
    <w:p>
      <w:pPr>
        <w:topLinePunct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现场指挥部组成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自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现场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指挥部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下设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综合协调、抢险救援、警戒保卫、医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疗救护、物资后勤保障、人员疏散安置、善后处置、宣传报道、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事故调查等9个应急工作组。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具体成立的应急工作组的数量可根据生产安全事故实际增减，由自治区指挥部确定。</w:t>
      </w:r>
    </w:p>
    <w:p>
      <w:pPr>
        <w:topLinePunct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bidi="ar-SA"/>
        </w:rPr>
        <w:t>各应急救援工作组职责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）综合协调组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应急厅和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事故发生地盟行政公署、市人民政府和其他有关部门单位组成。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主要职责：在自治区指挥部领导下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负责会议组织、信息汇总、综合协调和资料管理等工作。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）抢险救援组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、自然资源厅、生态环境厅、市场监管局，内蒙古消防救援总队，武警内蒙古总队，矿山安全生产应急救援队，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发生地盟行政公署、市人民政府，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事故发生单位和其他有关部门单位组成。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主要职责：负责实施经自治区指挥部批准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应急救援方案，组织指挥各级各类应急救援队伍进入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现场开展救援工作。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）警戒保卫组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由自治区公安厅，武警内蒙古总队，事故发生地盟行政公署、市人民政府和其他有关部门单位组成。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主要职责：负责封闭、警戒、控制、保护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现场及周边区域；维护生产安全事故发生单位治安和救援现场工作秩序；疏散转移现场和周边受威胁区域人员；负责事故现场交通管制，开辟专用通道供应急救援车辆和救援人员通行；依法控制生产安全事故相关责任人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）医疗救护组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由自治区卫生健康委，事故发生地盟行政公署、市人民政府和其他有关部门单位组成。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主要职责：负责组织协调救护车、医疗专家和卫生应急队伍等开展伤员及中毒人员急救、转运、救治和现场卫生防疫工作；组织协调调配卫生应急药品、器械等医用物资。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）物资后勤保障组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发生地盟行政公署、市人民政府，自治区工业和信息化厅、财政厅、公安厅、生态环境厅、交通运输厅、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应急厅，内蒙古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气象局和其他有关部门单位组成。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联系、采购、供应抢险救援物资、设备，负责救援车辆及油料的调配；为救援人员提供食宿保障；为受灾人员提供临时安置场所；为救援提供气象监测和预报；协调电力企业保证现场电力供应；协调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bidi="ar-SA"/>
        </w:rPr>
        <w:t>信企业负责救援现场通信保障；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负责现场救援物资、设备的存放和保管；开辟救援应急通道，保证救援物资、车辆畅通，对损坏道路进行抢修、维护；负责事故现场空气和水域水质检测及预警处置。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）人员疏散安置组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发生地盟行政公署、市人民政府，自治区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、公安厅、民政厅，事故发生单位和其他有关部门单位组成。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影响区域的人员疏散及安置工作。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）善后处置组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发生地盟行政公署、市人民政府，自治区公安厅、民政厅、人力资源社会保障厅、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应急厅、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总工会，事故发生单位和其他有关部门单位组成。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主要职责：负责开展伤亡人员及家属的安抚、补偿和保险理赔；恢复正常的生产、生活秩序。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）宣传报道组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由自治区党委宣传部，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发生地盟行政公署、市人民政府，事故发生单位和其他有关部门单位组成。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主要职责：负责信息发布、新闻报道、舆论引导、媒体服务管理和舆情管控等工作。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）事故调查组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由自治区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应急厅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、公安厅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总工会，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发生地盟行政公署、市人民政府和其他有关部门单位及相关专家组成。</w:t>
      </w:r>
    </w:p>
    <w:p>
      <w:pPr>
        <w:topLinePunct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主要职责：负责按规定组织开展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 w:bidi="ar-SA"/>
        </w:rPr>
        <w:t>非煤矿山生产安全事故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前期调查；对生产安全事故现场进行取证，准确记录应急救援的重要事项，妥善保存相关原始资料和证据；初步查明生产安全事故发生的经过、原因、人员伤亡情况及直接经济损失；初步认定生产安全事故的性质和事故责任；将有关原始资料、证据和初步调查结论向依法成立的生产安全事故调查组移交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6786"/>
    <w:rsid w:val="27A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2023-02-07T07:33:00Z</dcterms:created>
  <dc:creator>zwfw</dc:creator>
  <cp:lastModifiedBy>zwfw</cp:lastModifiedBy>
  <dcterms:modified xsi:type="dcterms:W3CDTF">2023-02-07T07:33:51Z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