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bookmarkStart w:id="0" w:name="标题"/>
      <w:bookmarkEnd w:id="0"/>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《内蒙古实验室建设工作指引（试行）》的通知</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仿宋" w:hAnsi="仿宋" w:eastAsia="仿宋" w:cs="仿宋"/>
          <w:sz w:val="32"/>
          <w:lang w:eastAsia="zh-CN"/>
        </w:rPr>
        <w:t>内政办发〔2023〕27号</w:t>
      </w:r>
    </w:p>
    <w:p>
      <w:pPr>
        <w:keepNext w:val="0"/>
        <w:keepLines w:val="0"/>
        <w:pageBreakBefore w:val="0"/>
        <w:widowControl w:val="0"/>
        <w:kinsoku/>
        <w:wordWrap/>
        <w:overflowPunct/>
        <w:topLinePunct/>
        <w:autoSpaceDE/>
        <w:autoSpaceDN/>
        <w:bidi w:val="0"/>
        <w:spacing w:line="500" w:lineRule="exact"/>
        <w:jc w:val="center"/>
        <w:textAlignment w:val="auto"/>
        <w:rPr>
          <w:rFonts w:hint="eastAsia"/>
          <w:sz w:val="30"/>
        </w:rPr>
      </w:pPr>
    </w:p>
    <w:p>
      <w:pPr>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楷体" w:hAnsi="楷体" w:eastAsia="楷体" w:cs="楷体"/>
          <w:b w:val="0"/>
          <w:bCs w:val="0"/>
          <w:sz w:val="32"/>
          <w:szCs w:val="32"/>
          <w:lang w:eastAsia="zh-CN"/>
        </w:rPr>
      </w:pPr>
      <w:bookmarkStart w:id="1" w:name="正文文件"/>
      <w:bookmarkEnd w:id="1"/>
      <w:bookmarkStart w:id="2" w:name="主送单位"/>
      <w:bookmarkEnd w:id="2"/>
      <w:r>
        <w:rPr>
          <w:rFonts w:hint="eastAsia" w:ascii="楷体" w:hAnsi="楷体" w:eastAsia="楷体" w:cs="楷体"/>
          <w:b w:val="0"/>
          <w:bCs w:val="0"/>
          <w:sz w:val="32"/>
          <w:szCs w:val="32"/>
          <w:lang w:eastAsia="zh-CN"/>
        </w:rPr>
        <w:t>各盟行政公署、市人民政府，自治区各委、办、厅、局，各有关企业、事业单位：</w:t>
      </w: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经自治区人民政府同意，现将《内蒙古实验室建设工作指引（试行）》</w:t>
      </w:r>
      <w:r>
        <w:rPr>
          <w:rFonts w:hint="eastAsia" w:ascii="楷体" w:hAnsi="楷体" w:eastAsia="楷体" w:cs="楷体"/>
          <w:b w:val="0"/>
          <w:bCs w:val="0"/>
          <w:kern w:val="0"/>
          <w:sz w:val="32"/>
          <w:szCs w:val="32"/>
          <w:lang w:val="en-US" w:eastAsia="zh-CN"/>
        </w:rPr>
        <w:t>印发给你们，请认真贯彻执行。</w:t>
      </w: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4480" w:firstLineChars="1400"/>
        <w:textAlignment w:val="auto"/>
        <w:rPr>
          <w:rFonts w:hint="eastAsia" w:ascii="楷体" w:hAnsi="楷体" w:eastAsia="楷体" w:cs="楷体"/>
          <w:b w:val="0"/>
          <w:bCs w:val="0"/>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560" w:lineRule="exact"/>
        <w:ind w:right="1396" w:rightChars="665" w:firstLine="5120" w:firstLineChars="1600"/>
        <w:textAlignment w:val="auto"/>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2023年3月20日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br w:type="page"/>
      </w:r>
    </w:p>
    <w:p>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内蒙古实验室建设工作指引（试行）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pacing w:val="-6"/>
          <w:sz w:val="32"/>
          <w:szCs w:val="32"/>
        </w:rPr>
      </w:pPr>
      <w:r>
        <w:rPr>
          <w:rFonts w:hint="eastAsia" w:ascii="仿宋" w:hAnsi="仿宋" w:eastAsia="仿宋" w:cs="仿宋"/>
          <w:b w:val="0"/>
          <w:bCs w:val="0"/>
          <w:sz w:val="32"/>
          <w:szCs w:val="32"/>
        </w:rPr>
        <w:t>为深入贯彻</w:t>
      </w:r>
      <w:r>
        <w:rPr>
          <w:rFonts w:hint="eastAsia" w:ascii="仿宋" w:hAnsi="仿宋" w:eastAsia="仿宋" w:cs="仿宋"/>
          <w:b w:val="0"/>
          <w:bCs w:val="0"/>
          <w:sz w:val="32"/>
          <w:szCs w:val="32"/>
          <w:u w:val="none"/>
          <w:lang w:eastAsia="zh-CN"/>
        </w:rPr>
        <w:t>习近平总书记对</w:t>
      </w:r>
      <w:r>
        <w:rPr>
          <w:rFonts w:hint="eastAsia" w:ascii="仿宋" w:hAnsi="仿宋" w:eastAsia="仿宋" w:cs="仿宋"/>
          <w:b w:val="0"/>
          <w:bCs w:val="0"/>
          <w:sz w:val="32"/>
          <w:szCs w:val="32"/>
        </w:rPr>
        <w:t>内蒙古重要讲话重要指示批示</w:t>
      </w:r>
      <w:r>
        <w:rPr>
          <w:rFonts w:hint="eastAsia" w:ascii="仿宋" w:hAnsi="仿宋" w:eastAsia="仿宋" w:cs="仿宋"/>
          <w:b w:val="0"/>
          <w:bCs w:val="0"/>
          <w:spacing w:val="6"/>
          <w:sz w:val="32"/>
          <w:szCs w:val="32"/>
        </w:rPr>
        <w:t>精神，</w:t>
      </w:r>
      <w:r>
        <w:rPr>
          <w:rFonts w:hint="eastAsia" w:ascii="仿宋" w:hAnsi="仿宋" w:eastAsia="仿宋" w:cs="仿宋"/>
          <w:b w:val="0"/>
          <w:bCs w:val="0"/>
          <w:spacing w:val="6"/>
          <w:sz w:val="32"/>
          <w:szCs w:val="32"/>
          <w:lang w:eastAsia="zh-CN"/>
        </w:rPr>
        <w:t>认真</w:t>
      </w:r>
      <w:r>
        <w:rPr>
          <w:rFonts w:hint="eastAsia" w:ascii="仿宋" w:hAnsi="仿宋" w:eastAsia="仿宋" w:cs="仿宋"/>
          <w:b w:val="0"/>
          <w:bCs w:val="0"/>
          <w:spacing w:val="6"/>
          <w:sz w:val="32"/>
          <w:szCs w:val="32"/>
        </w:rPr>
        <w:t>落实自治区党委</w:t>
      </w:r>
      <w:r>
        <w:rPr>
          <w:rFonts w:hint="eastAsia" w:ascii="仿宋" w:hAnsi="仿宋" w:eastAsia="仿宋" w:cs="仿宋"/>
          <w:b w:val="0"/>
          <w:bCs w:val="0"/>
          <w:spacing w:val="6"/>
          <w:sz w:val="32"/>
          <w:szCs w:val="32"/>
          <w:lang w:eastAsia="zh-CN"/>
        </w:rPr>
        <w:t>和</w:t>
      </w:r>
      <w:r>
        <w:rPr>
          <w:rFonts w:hint="eastAsia" w:ascii="仿宋" w:hAnsi="仿宋" w:eastAsia="仿宋" w:cs="仿宋"/>
          <w:b w:val="0"/>
          <w:bCs w:val="0"/>
          <w:spacing w:val="6"/>
          <w:sz w:val="32"/>
          <w:szCs w:val="32"/>
        </w:rPr>
        <w:t>政府决策部署，高起点、高标准、</w:t>
      </w:r>
      <w:r>
        <w:rPr>
          <w:rFonts w:hint="eastAsia" w:ascii="仿宋" w:hAnsi="仿宋" w:eastAsia="仿宋" w:cs="仿宋"/>
          <w:b w:val="0"/>
          <w:bCs w:val="0"/>
          <w:spacing w:val="-6"/>
          <w:sz w:val="32"/>
          <w:szCs w:val="32"/>
        </w:rPr>
        <w:t>高水平推进内蒙古实验室建设，结合自治区实际，制定本工作指引。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一、目标定位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内蒙古实验室是我区科技创新体系的重要组成部分，是落实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五大任务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的重要科技支撑，力争纳入国家实验室体系，打造</w:t>
      </w:r>
      <w:r>
        <w:rPr>
          <w:rFonts w:hint="eastAsia" w:ascii="仿宋" w:hAnsi="仿宋" w:eastAsia="仿宋" w:cs="仿宋"/>
          <w:b w:val="0"/>
          <w:bCs w:val="0"/>
          <w:spacing w:val="6"/>
          <w:sz w:val="32"/>
          <w:szCs w:val="32"/>
        </w:rPr>
        <w:t>成国家战略科技力量。建成后，将成为引领科技创新的新型研发</w:t>
      </w:r>
      <w:r>
        <w:rPr>
          <w:rFonts w:hint="eastAsia" w:ascii="仿宋" w:hAnsi="仿宋" w:eastAsia="仿宋" w:cs="仿宋"/>
          <w:b w:val="0"/>
          <w:bCs w:val="0"/>
          <w:sz w:val="32"/>
          <w:szCs w:val="32"/>
        </w:rPr>
        <w:t>机构、汇聚高端创新人才的重要载体、科技体制机制改革的“试</w:t>
      </w:r>
      <w:r>
        <w:rPr>
          <w:rFonts w:hint="eastAsia" w:ascii="仿宋" w:hAnsi="仿宋" w:eastAsia="仿宋" w:cs="仿宋"/>
          <w:b w:val="0"/>
          <w:bCs w:val="0"/>
          <w:spacing w:val="6"/>
          <w:sz w:val="32"/>
          <w:szCs w:val="32"/>
        </w:rPr>
        <w:t>验田”、支撑转型发展的创新源泉、建设科技创新体系的高水</w:t>
      </w:r>
      <w:r>
        <w:rPr>
          <w:rFonts w:hint="eastAsia" w:ascii="仿宋" w:hAnsi="仿宋" w:eastAsia="仿宋" w:cs="仿宋"/>
          <w:b w:val="0"/>
          <w:bCs w:val="0"/>
          <w:spacing w:val="11"/>
          <w:sz w:val="32"/>
          <w:szCs w:val="32"/>
        </w:rPr>
        <w:t>平引领阵地。到2025年，建设2</w:t>
      </w:r>
      <w:r>
        <w:rPr>
          <w:rFonts w:hint="eastAsia" w:ascii="仿宋" w:hAnsi="仿宋" w:eastAsia="仿宋" w:cs="仿宋"/>
          <w:b w:val="0"/>
          <w:bCs w:val="0"/>
          <w:spacing w:val="11"/>
          <w:sz w:val="32"/>
          <w:szCs w:val="32"/>
          <w:lang w:val="en-US" w:eastAsia="zh-CN"/>
        </w:rPr>
        <w:t>-</w:t>
      </w:r>
      <w:r>
        <w:rPr>
          <w:rFonts w:hint="eastAsia" w:ascii="仿宋" w:hAnsi="仿宋" w:eastAsia="仿宋" w:cs="仿宋"/>
          <w:b w:val="0"/>
          <w:bCs w:val="0"/>
          <w:spacing w:val="11"/>
          <w:sz w:val="32"/>
          <w:szCs w:val="32"/>
        </w:rPr>
        <w:t>3家内蒙古实验室；到2030</w:t>
      </w:r>
      <w:r>
        <w:rPr>
          <w:rFonts w:hint="eastAsia" w:ascii="仿宋" w:hAnsi="仿宋" w:eastAsia="仿宋" w:cs="仿宋"/>
          <w:b w:val="0"/>
          <w:bCs w:val="0"/>
          <w:spacing w:val="-6"/>
          <w:sz w:val="32"/>
          <w:szCs w:val="32"/>
        </w:rPr>
        <w:t>年，建成若干家突破引领、学科交叉、综合集成、国内一流、国</w:t>
      </w:r>
      <w:r>
        <w:rPr>
          <w:rFonts w:hint="eastAsia" w:ascii="仿宋" w:hAnsi="仿宋" w:eastAsia="仿宋" w:cs="仿宋"/>
          <w:b w:val="0"/>
          <w:bCs w:val="0"/>
          <w:sz w:val="32"/>
          <w:szCs w:val="32"/>
        </w:rPr>
        <w:t>际先进的内蒙古实验室。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二、建设领域与条件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（一）重点建设领域</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面向国家和自治区重大战略需求，紧紧围绕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五大任务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对战略前沿技术、核心关键技术、颠覆性技术的研发和转化应用的需要，在现代能源、国家战略资源、生态环保、现代农牧业等重点产业和领域建设内蒙古实验室。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pacing w:val="-11"/>
          <w:sz w:val="32"/>
          <w:szCs w:val="32"/>
        </w:rPr>
      </w:pPr>
      <w:r>
        <w:rPr>
          <w:rFonts w:hint="eastAsia" w:ascii="楷体" w:hAnsi="楷体" w:eastAsia="楷体" w:cs="楷体"/>
          <w:b w:val="0"/>
          <w:bCs w:val="0"/>
          <w:sz w:val="32"/>
          <w:szCs w:val="32"/>
        </w:rPr>
        <w:t>（二）</w:t>
      </w:r>
      <w:r>
        <w:rPr>
          <w:rFonts w:hint="eastAsia" w:ascii="楷体" w:hAnsi="楷体" w:eastAsia="楷体" w:cs="楷体"/>
          <w:b w:val="0"/>
          <w:bCs w:val="0"/>
          <w:spacing w:val="-11"/>
          <w:sz w:val="32"/>
          <w:szCs w:val="32"/>
        </w:rPr>
        <w:t>建设条件。</w:t>
      </w:r>
      <w:r>
        <w:rPr>
          <w:rFonts w:hint="eastAsia" w:ascii="仿宋" w:hAnsi="仿宋" w:eastAsia="仿宋" w:cs="仿宋"/>
          <w:b w:val="0"/>
          <w:bCs w:val="0"/>
          <w:spacing w:val="-11"/>
          <w:sz w:val="32"/>
          <w:szCs w:val="32"/>
        </w:rPr>
        <w:t>申请建设内蒙古实验室应具备以下基本条件：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研究方向和领域具有明显的优势或特色，符合国家发展战略和自治区重大发展需求，符合多学科交叉融合发展趋势，具备承担自治区级以上重大科研项目、高水平科研合作、应急响应研发任务及建设重大科技基础设施的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2.聚集国内外优秀创新人才资源，拥有稳定的高水平科研队伍，有一批国内外同行认可的领军科学家、高水平的学科带头人和研究团队、技术骨干。</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3.拥有相关领域的自治区级以上科技创新平台，以及实验室建设必需的集中科研用房、重要科学基础设施和仪器设备，有稳定的研发经费投入和保障机制。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4.建立符合科研规律的新型管理体制，形成任务导向、交叉融合、协同攻关、开放共享的新型运行机制。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三、建设方式和</w:t>
      </w:r>
      <w:r>
        <w:rPr>
          <w:rFonts w:ascii="Times New Roman" w:hAnsi="Times New Roman" w:eastAsia="黑体" w:cs="Times New Roman"/>
          <w:b w:val="0"/>
          <w:bCs w:val="0"/>
          <w:sz w:val="32"/>
          <w:szCs w:val="32"/>
        </w:rPr>
        <w:t>审批程序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（一）建设方式。</w:t>
      </w:r>
      <w:r>
        <w:rPr>
          <w:rFonts w:hint="eastAsia" w:ascii="仿宋" w:hAnsi="仿宋" w:eastAsia="仿宋" w:cs="仿宋"/>
          <w:b w:val="0"/>
          <w:bCs w:val="0"/>
          <w:sz w:val="32"/>
          <w:szCs w:val="32"/>
        </w:rPr>
        <w:t>内蒙古实验室坚持“自治区主导，盟市主建，成熟一个、建设一个，优胜劣汰、有序进出”的原则，通过自治区层面设计布局和</w:t>
      </w:r>
      <w:r>
        <w:rPr>
          <w:rFonts w:hint="eastAsia" w:ascii="仿宋" w:hAnsi="仿宋" w:eastAsia="仿宋" w:cs="仿宋"/>
          <w:b w:val="0"/>
          <w:bCs w:val="0"/>
          <w:sz w:val="32"/>
          <w:szCs w:val="32"/>
          <w:lang w:eastAsia="zh-CN"/>
        </w:rPr>
        <w:t>各盟行政公署、市人民政府</w:t>
      </w:r>
      <w:r>
        <w:rPr>
          <w:rFonts w:hint="eastAsia" w:ascii="仿宋" w:hAnsi="仿宋" w:eastAsia="仿宋" w:cs="仿宋"/>
          <w:b w:val="0"/>
          <w:bCs w:val="0"/>
          <w:sz w:val="32"/>
          <w:szCs w:val="32"/>
        </w:rPr>
        <w:t>牵头创建等方式组建。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自治区围绕打造一流创新生态要求，面向国家和自治区重大需求，对内蒙古实验室进行总体规划布局，出台支持政策。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盟市围绕自治区规划布局组织推动实验室建设单位抓好落实，在建设用地、基础设施、资金投入、人才培养和引进、成果转化等方面提供必要保障。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内蒙古实验室按照新型研发机构建设与运行管理，独立法人运作。鼓励区内外高校、科研院所、企业等各类创新主体联合共建实验室。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（二）审批程序。</w:t>
      </w:r>
      <w:r>
        <w:rPr>
          <w:rFonts w:hint="eastAsia" w:ascii="仿宋" w:hAnsi="仿宋" w:eastAsia="仿宋" w:cs="仿宋"/>
          <w:b w:val="0"/>
          <w:bCs w:val="0"/>
          <w:sz w:val="32"/>
          <w:szCs w:val="32"/>
        </w:rPr>
        <w:t>内蒙古实验室采取“一室一方案”的方式建设，以“领域+内蒙古实验室”方式命名。实验室建设主体编制内蒙古实验室建设方案（以下简称建设方案，编写提纲见附件）。自治区科技厅组织区内外专家对建设方案综合论证后，报自治区</w:t>
      </w:r>
      <w:r>
        <w:rPr>
          <w:rFonts w:hint="eastAsia" w:ascii="仿宋" w:hAnsi="仿宋" w:eastAsia="仿宋" w:cs="仿宋"/>
          <w:b w:val="0"/>
          <w:bCs w:val="0"/>
          <w:sz w:val="32"/>
          <w:szCs w:val="32"/>
          <w:lang w:eastAsia="zh-CN"/>
        </w:rPr>
        <w:t>人民</w:t>
      </w:r>
      <w:r>
        <w:rPr>
          <w:rFonts w:hint="eastAsia" w:ascii="仿宋" w:hAnsi="仿宋" w:eastAsia="仿宋" w:cs="仿宋"/>
          <w:b w:val="0"/>
          <w:bCs w:val="0"/>
          <w:sz w:val="32"/>
          <w:szCs w:val="32"/>
        </w:rPr>
        <w:t>政府批准建设。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四、管理体制和运行机制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内蒙古实验室应实体化建设与运行，坚持党的全面领导，构建由理事会、学术委员会和实验室主任组成的组织架构，建立新型高效的管理运行机制。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（一）管理体制</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84"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11"/>
          <w:sz w:val="32"/>
          <w:szCs w:val="32"/>
          <w:lang w:eastAsia="zh-CN"/>
        </w:rPr>
        <w:t>1.成立理事会。理事会是内蒙古实验室的决策和监督机构，</w:t>
      </w:r>
      <w:r>
        <w:rPr>
          <w:rFonts w:hint="eastAsia" w:ascii="仿宋" w:hAnsi="仿宋" w:eastAsia="仿宋" w:cs="仿宋"/>
          <w:b w:val="0"/>
          <w:bCs w:val="0"/>
          <w:sz w:val="32"/>
          <w:szCs w:val="32"/>
          <w:lang w:eastAsia="zh-CN"/>
        </w:rPr>
        <w:t>采取席位制方式组建，成员由自治区人民政府，各盟行政公署、市人民政府和自治区相关部门、参建单位负责同志以及相关领域的著名科学家、企业家等组成。理事会主要职责是研究制订实验室章程及其他相关管理制度，审议实验室的发展战略、机构</w:t>
      </w:r>
      <w:r>
        <w:rPr>
          <w:rFonts w:hint="eastAsia" w:ascii="仿宋" w:hAnsi="仿宋" w:eastAsia="仿宋" w:cs="仿宋"/>
          <w:b w:val="0"/>
          <w:bCs w:val="0"/>
          <w:spacing w:val="6"/>
          <w:sz w:val="32"/>
          <w:szCs w:val="32"/>
          <w:lang w:eastAsia="zh-CN"/>
        </w:rPr>
        <w:t>设置、财务预算，协调解决重大事项，监督实验室的建设运行，</w:t>
      </w:r>
      <w:r>
        <w:rPr>
          <w:rFonts w:hint="eastAsia" w:ascii="仿宋" w:hAnsi="仿宋" w:eastAsia="仿宋" w:cs="仿宋"/>
          <w:b w:val="0"/>
          <w:bCs w:val="0"/>
          <w:sz w:val="32"/>
          <w:szCs w:val="32"/>
          <w:lang w:eastAsia="zh-CN"/>
        </w:rPr>
        <w:t>对实验室主任年度业绩进行考核评价等。涉及实验室建设发展的</w:t>
      </w:r>
      <w:r>
        <w:rPr>
          <w:rFonts w:hint="eastAsia" w:ascii="仿宋" w:hAnsi="仿宋" w:eastAsia="仿宋" w:cs="仿宋"/>
          <w:b w:val="0"/>
          <w:bCs w:val="0"/>
          <w:spacing w:val="6"/>
          <w:sz w:val="32"/>
          <w:szCs w:val="32"/>
          <w:lang w:eastAsia="zh-CN"/>
        </w:rPr>
        <w:t>重大事项由理事会报自治区人民政府确定。理事会实行任期制，</w:t>
      </w:r>
      <w:r>
        <w:rPr>
          <w:rFonts w:hint="eastAsia" w:ascii="仿宋" w:hAnsi="仿宋" w:eastAsia="仿宋" w:cs="仿宋"/>
          <w:b w:val="0"/>
          <w:bCs w:val="0"/>
          <w:spacing w:val="-6"/>
          <w:sz w:val="32"/>
          <w:szCs w:val="32"/>
          <w:lang w:eastAsia="zh-CN"/>
        </w:rPr>
        <w:t>每届任期5年，理事长由理事会推荐，报自治区人民政府审定。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w:t>
      </w:r>
      <w:r>
        <w:rPr>
          <w:rFonts w:hint="eastAsia" w:ascii="仿宋" w:hAnsi="仿宋" w:eastAsia="仿宋" w:cs="仿宋"/>
          <w:b w:val="0"/>
          <w:bCs w:val="0"/>
          <w:spacing w:val="6"/>
          <w:sz w:val="32"/>
          <w:szCs w:val="32"/>
          <w:lang w:eastAsia="zh-CN"/>
        </w:rPr>
        <w:t>成立学术委员会。学术委员会是实验室的学术指导机构，</w:t>
      </w:r>
      <w:r>
        <w:rPr>
          <w:rFonts w:hint="eastAsia" w:ascii="仿宋" w:hAnsi="仿宋" w:eastAsia="仿宋" w:cs="仿宋"/>
          <w:b w:val="0"/>
          <w:bCs w:val="0"/>
          <w:sz w:val="32"/>
          <w:szCs w:val="32"/>
          <w:lang w:eastAsia="zh-CN"/>
        </w:rPr>
        <w:t>每届任期5年。学术委员会主任由相关领域著名科学家担任，委员由国内外知名科学家、战略科学家、企业家组成，主任和委员由实验室提名，理事会聘任。学术委员会的主要职责是指导和把握内蒙古实验室研究方向、重点发展领域、重大研究任务与目标等学术问题，开展学术工作评估，定期召开学术委员会会议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3.选聘实验室主任。内蒙古实验室实行理事会领导下的主任负责制。实验室主任由本领域内具有国际国内影响，且拥有强烈的责任意识、创新意识和统筹协调能力的战略科学家、技术专家</w:t>
      </w:r>
      <w:r>
        <w:rPr>
          <w:rFonts w:hint="eastAsia" w:ascii="仿宋" w:hAnsi="仿宋" w:eastAsia="仿宋" w:cs="仿宋"/>
          <w:b w:val="0"/>
          <w:bCs w:val="0"/>
          <w:spacing w:val="6"/>
          <w:sz w:val="32"/>
          <w:szCs w:val="32"/>
          <w:lang w:eastAsia="zh-CN"/>
        </w:rPr>
        <w:t>或管理专家担任，一般要求全职在实验室工作，享有实验室人、</w:t>
      </w:r>
      <w:r>
        <w:rPr>
          <w:rFonts w:hint="eastAsia" w:ascii="仿宋" w:hAnsi="仿宋" w:eastAsia="仿宋" w:cs="仿宋"/>
          <w:b w:val="0"/>
          <w:bCs w:val="0"/>
          <w:sz w:val="32"/>
          <w:szCs w:val="32"/>
          <w:lang w:eastAsia="zh-CN"/>
        </w:rPr>
        <w:t>财、物等方面自主权，负责实验室全面工作。实验室主任由自治区人民政府任命。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4.设立首席科学家。根据内蒙古实验室主要研究方向设立首席科学家，全面负责总体推进各研究方向和研究计划，组建科研团队，确定内部协作模式和激励机制，自主决策经费使用。首席科学家由理事会聘任。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（二）运行机制</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内蒙古实验室应积极探索管理创新，在内部组织框架、科研组织、方向确定、人才选用、薪酬分配、知识产权归属等方面享有充分自主权。</w:t>
      </w:r>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6"/>
          <w:sz w:val="32"/>
          <w:szCs w:val="32"/>
          <w:lang w:eastAsia="zh-CN"/>
        </w:rPr>
        <w:t>1</w:t>
      </w:r>
      <w:r>
        <w:rPr>
          <w:rFonts w:hint="eastAsia" w:ascii="仿宋" w:hAnsi="仿宋" w:eastAsia="仿宋" w:cs="仿宋"/>
          <w:b w:val="0"/>
          <w:bCs w:val="0"/>
          <w:spacing w:val="6"/>
          <w:sz w:val="32"/>
          <w:szCs w:val="32"/>
          <w:lang w:val="en-US" w:eastAsia="zh-CN"/>
        </w:rPr>
        <w:t>.</w:t>
      </w:r>
      <w:r>
        <w:rPr>
          <w:rFonts w:hint="eastAsia" w:ascii="仿宋" w:hAnsi="仿宋" w:eastAsia="仿宋" w:cs="仿宋"/>
          <w:b w:val="0"/>
          <w:bCs w:val="0"/>
          <w:spacing w:val="6"/>
          <w:sz w:val="32"/>
          <w:szCs w:val="32"/>
          <w:lang w:eastAsia="zh-CN"/>
        </w:rPr>
        <w:t>建立高效的人才聚集机制。实验室自主选聘科研、管理、</w:t>
      </w:r>
      <w:r>
        <w:rPr>
          <w:rFonts w:hint="eastAsia" w:ascii="仿宋" w:hAnsi="仿宋" w:eastAsia="仿宋" w:cs="仿宋"/>
          <w:b w:val="0"/>
          <w:bCs w:val="0"/>
          <w:sz w:val="32"/>
          <w:szCs w:val="32"/>
          <w:lang w:eastAsia="zh-CN"/>
        </w:rPr>
        <w:t>技术技能支撑等人员，按需设岗、按岗聘用、合同管理、动态调整、能进能出，建立“开放、流动、竞争、协同”的选人用人机</w:t>
      </w:r>
      <w:r>
        <w:rPr>
          <w:rFonts w:hint="eastAsia" w:ascii="仿宋" w:hAnsi="仿宋" w:eastAsia="仿宋" w:cs="仿宋"/>
          <w:b w:val="0"/>
          <w:bCs w:val="0"/>
          <w:spacing w:val="6"/>
          <w:sz w:val="32"/>
          <w:szCs w:val="32"/>
          <w:lang w:eastAsia="zh-CN"/>
        </w:rPr>
        <w:t>制。实施重大任务汇聚人才，通过“双聘制”引进区内外高校、</w:t>
      </w:r>
      <w:r>
        <w:rPr>
          <w:rFonts w:hint="eastAsia" w:ascii="仿宋" w:hAnsi="仿宋" w:eastAsia="仿宋" w:cs="仿宋"/>
          <w:b w:val="0"/>
          <w:bCs w:val="0"/>
          <w:sz w:val="32"/>
          <w:szCs w:val="32"/>
          <w:lang w:eastAsia="zh-CN"/>
        </w:rPr>
        <w:t>科研院所科研人员，集聚一批战略科学家、学科领军人才和科研创新团队。设立开放课题吸引人才，引进国内外优秀青年科研人员开展研究工作。创造良好环境培育人才，联合区内外高校、科研院所培育硕士、博士研究生，形成科研人才梯队。健全人才成长激励机制，采取年薪制、协议工资、项目工资等薪酬方式，建立与科研人员科研能力和贡献相匹配的具有竞争力的薪酬分配制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pacing w:val="6"/>
          <w:sz w:val="32"/>
          <w:szCs w:val="32"/>
          <w:lang w:eastAsia="zh-CN"/>
        </w:rPr>
        <w:t>建立符合科研规律的激励机制。破除“四唯”倾向，</w:t>
      </w:r>
      <w:r>
        <w:rPr>
          <w:rFonts w:hint="eastAsia" w:ascii="仿宋" w:hAnsi="仿宋" w:eastAsia="仿宋" w:cs="仿宋"/>
          <w:b w:val="0"/>
          <w:bCs w:val="0"/>
          <w:sz w:val="32"/>
          <w:szCs w:val="32"/>
          <w:lang w:eastAsia="zh-CN"/>
        </w:rPr>
        <w:t>建立以绩效为导向的中长期评估考核机制，引入第三方评估，将目标任务完成情况作为评估考核的主要依据。开展分类评价和开</w:t>
      </w:r>
      <w:r>
        <w:rPr>
          <w:rFonts w:hint="eastAsia" w:ascii="仿宋" w:hAnsi="仿宋" w:eastAsia="仿宋" w:cs="仿宋"/>
          <w:b w:val="0"/>
          <w:bCs w:val="0"/>
          <w:spacing w:val="6"/>
          <w:sz w:val="32"/>
          <w:szCs w:val="32"/>
          <w:lang w:eastAsia="zh-CN"/>
        </w:rPr>
        <w:t>放</w:t>
      </w:r>
      <w:r>
        <w:rPr>
          <w:rFonts w:hint="eastAsia" w:ascii="仿宋" w:hAnsi="仿宋" w:eastAsia="仿宋" w:cs="仿宋"/>
          <w:b w:val="0"/>
          <w:bCs w:val="0"/>
          <w:spacing w:val="11"/>
          <w:sz w:val="32"/>
          <w:szCs w:val="32"/>
          <w:lang w:eastAsia="zh-CN"/>
        </w:rPr>
        <w:t>评价，建立以创新价值、能力、贡献为导向的科研项目考核、</w:t>
      </w:r>
      <w:r>
        <w:rPr>
          <w:rFonts w:hint="eastAsia" w:ascii="仿宋" w:hAnsi="仿宋" w:eastAsia="仿宋" w:cs="仿宋"/>
          <w:b w:val="0"/>
          <w:bCs w:val="0"/>
          <w:sz w:val="32"/>
          <w:szCs w:val="32"/>
          <w:lang w:eastAsia="zh-CN"/>
        </w:rPr>
        <w:t>评价和奖励制度。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建立多元协同的创新机制。以重大科研任务为牵引，以内蒙古实验室为核心，吸引国内外高校、科研院所和企业等优势力量开展科学研究、集成攻关，赋予科研管理自主权，采取订单式、揭榜式等多种项目形成机制，实行科研项目经费“包干制”和“负面清单管理”制度，实施科研合同制、项目经理制等多种项目组织方式，逐步形成强核心、多基地、大协作、开放式、网络化的创新格局。</w:t>
      </w:r>
    </w:p>
    <w:p>
      <w:pPr>
        <w:keepNext w:val="0"/>
        <w:keepLines w:val="0"/>
        <w:pageBreakBefore w:val="0"/>
        <w:widowControl w:val="0"/>
        <w:kinsoku/>
        <w:wordWrap/>
        <w:overflowPunct/>
        <w:topLinePunct/>
        <w:autoSpaceDE/>
        <w:autoSpaceDN/>
        <w:bidi w:val="0"/>
        <w:adjustRightInd/>
        <w:snapToGrid/>
        <w:spacing w:line="580" w:lineRule="exact"/>
        <w:ind w:firstLine="664"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6"/>
          <w:sz w:val="32"/>
          <w:szCs w:val="32"/>
          <w:lang w:eastAsia="zh-CN"/>
        </w:rPr>
        <w:t>4</w:t>
      </w:r>
      <w:r>
        <w:rPr>
          <w:rFonts w:hint="eastAsia" w:ascii="仿宋" w:hAnsi="仿宋" w:eastAsia="仿宋" w:cs="仿宋"/>
          <w:b w:val="0"/>
          <w:bCs w:val="0"/>
          <w:spacing w:val="6"/>
          <w:sz w:val="32"/>
          <w:szCs w:val="32"/>
          <w:lang w:val="en-US" w:eastAsia="zh-CN"/>
        </w:rPr>
        <w:t>.</w:t>
      </w:r>
      <w:r>
        <w:rPr>
          <w:rFonts w:hint="eastAsia" w:ascii="仿宋" w:hAnsi="仿宋" w:eastAsia="仿宋" w:cs="仿宋"/>
          <w:b w:val="0"/>
          <w:bCs w:val="0"/>
          <w:spacing w:val="6"/>
          <w:sz w:val="32"/>
          <w:szCs w:val="32"/>
          <w:lang w:eastAsia="zh-CN"/>
        </w:rPr>
        <w:t>建立需求导向的科技成果转化机制。统筹衔接基础研究、</w:t>
      </w:r>
      <w:r>
        <w:rPr>
          <w:rFonts w:hint="eastAsia" w:ascii="仿宋" w:hAnsi="仿宋" w:eastAsia="仿宋" w:cs="仿宋"/>
          <w:b w:val="0"/>
          <w:bCs w:val="0"/>
          <w:sz w:val="32"/>
          <w:szCs w:val="32"/>
          <w:lang w:eastAsia="zh-CN"/>
        </w:rPr>
        <w:t>应用基础研究、关键技术开发、科技成果转化、产业发展支撑等各环节工作，建立与绩效挂钩的成果转化激励机制，制定转化收益分配政策，赋予科研人员职务科技成果所有权或长期使用权，支持科研成果在自治区内转化；鼓励采取自行转化、技术转让等多种方式转化成果，允许实验室自主处置成果转化收益；激励科技人员创新创业，推动创新链上游科研成果向下扩展延伸和转化，促进科技、产业、金融良性循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建立科研设施的共建共享机制。支持实验室建设大型科研装置和创新平台，鼓励实验室与相关领域国内外具有创新优势的高校、科研院所、企业以及科技创新机构（组织）合作，开展重大科学装置和科研基础设施的共建共享。鼓励企业和社会力量以多种方式参与共建重大科研基础设施，组建专业的仪器设备服务机构，促进科学仪器设备使用的社会化服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建立完善的知识产权管理制度。内蒙古实验室应建立健全知识产权管理制度和体系，开展国内外知识产权布局，开展重大</w:t>
      </w:r>
      <w:r>
        <w:rPr>
          <w:rFonts w:hint="eastAsia" w:ascii="仿宋" w:hAnsi="仿宋" w:eastAsia="仿宋" w:cs="仿宋"/>
          <w:b w:val="0"/>
          <w:bCs w:val="0"/>
          <w:spacing w:val="6"/>
          <w:sz w:val="32"/>
          <w:szCs w:val="32"/>
          <w:lang w:eastAsia="zh-CN"/>
        </w:rPr>
        <w:t>项目知识产权分析评议，培育高价值专利，防范知识产权风险，</w:t>
      </w:r>
      <w:r>
        <w:rPr>
          <w:rFonts w:hint="eastAsia" w:ascii="仿宋" w:hAnsi="仿宋" w:eastAsia="仿宋" w:cs="仿宋"/>
          <w:b w:val="0"/>
          <w:bCs w:val="0"/>
          <w:sz w:val="32"/>
          <w:szCs w:val="32"/>
          <w:lang w:eastAsia="zh-CN"/>
        </w:rPr>
        <w:t>提高知识产权国际竞争力。在实验室完成的科技成果均应标注实验室名称，按约定和贡献确定权属，并进行成果登记。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五、组织保障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rPr>
        <w:t>（一）完善政策支持体系。</w:t>
      </w:r>
      <w:r>
        <w:rPr>
          <w:rFonts w:hint="eastAsia" w:ascii="仿宋" w:hAnsi="仿宋" w:eastAsia="仿宋" w:cs="仿宋"/>
          <w:b w:val="0"/>
          <w:bCs w:val="0"/>
          <w:sz w:val="32"/>
          <w:szCs w:val="32"/>
          <w:lang w:eastAsia="zh-CN"/>
        </w:rPr>
        <w:t>内蒙古实验室实行挂牌建设，自治区有关部门应积极支持实验室建设，落实“科技兴蒙”30条等政策，并根据实验室发展需要不断完善相关支持政策。实验室所在盟市应出台人才、项目、税收等方面的相关实施细则和配套政策措施。承建单位应为实验室的建设发展提供人、财、物等方面支持，形成支持实验室的政策合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rPr>
        <w:t>（二）加大资金支持。</w:t>
      </w:r>
      <w:r>
        <w:rPr>
          <w:rFonts w:hint="eastAsia" w:ascii="仿宋" w:hAnsi="仿宋" w:eastAsia="仿宋" w:cs="仿宋"/>
          <w:b w:val="0"/>
          <w:bCs w:val="0"/>
          <w:sz w:val="32"/>
          <w:szCs w:val="32"/>
          <w:lang w:eastAsia="zh-CN"/>
        </w:rPr>
        <w:t>建设期前</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年，自治区对内蒙古实验室的建设与发展给予稳定经费支持，鼓励各盟行政公署、市人民政府加大对实验室的经费投入，实验室承建单位根据科研基础设施建设及科研活动的需求共同投入。要拓宽资金投入渠道，探索多元投入，引导和鼓励社会资本参与内蒙古实验室建设，引入银行贷款、股权投资等多种金融方式推进实验室建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rPr>
        <w:t>（三）建立考核评估机制。</w:t>
      </w:r>
      <w:r>
        <w:rPr>
          <w:rFonts w:hint="eastAsia" w:ascii="仿宋" w:hAnsi="仿宋" w:eastAsia="仿宋" w:cs="仿宋"/>
          <w:b w:val="0"/>
          <w:bCs w:val="0"/>
          <w:sz w:val="32"/>
          <w:szCs w:val="32"/>
          <w:lang w:eastAsia="zh-CN"/>
        </w:rPr>
        <w:t>建立以创新绩效为核心的考核和评估机制，自治区科技厅对实验室进行年度考核和定期评估，重点考核科研成果产出、创新人才集聚、体制机制创新、创新生态优化等情况，考核评估结果作为支持实验室的重要依据。建立健全鼓励创新、宽容失败的容错免责机制，按规定对实验室在改革创新、探索试验、推动发展过程中的无意过失给予包容和免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附件：内蒙古实验室建设方案编写提纲</w:t>
      </w:r>
    </w:p>
    <w:p>
      <w:pPr>
        <w:keepNext w:val="0"/>
        <w:keepLines w:val="0"/>
        <w:pageBreakBefore w:val="0"/>
        <w:widowControl w:val="0"/>
        <w:kinsoku/>
        <w:wordWrap/>
        <w:overflowPunct/>
        <w:topLinePunct/>
        <w:autoSpaceDE/>
        <w:autoSpaceDN/>
        <w:bidi w:val="0"/>
        <w:adjustRightInd/>
        <w:snapToGrid/>
        <w:spacing w:line="580" w:lineRule="exact"/>
        <w:jc w:val="left"/>
        <w:textAlignment w:val="auto"/>
        <w:rPr>
          <w:rFonts w:hint="eastAsia" w:ascii="黑体" w:hAnsi="黑体" w:eastAsia="黑体"/>
          <w:b w:val="0"/>
          <w:bCs w:val="0"/>
          <w:kern w:val="0"/>
          <w:sz w:val="32"/>
          <w:szCs w:val="23"/>
          <w:lang w:eastAsia="zh-CN"/>
        </w:rPr>
      </w:pPr>
    </w:p>
    <w:p>
      <w:pPr>
        <w:keepNext w:val="0"/>
        <w:keepLines w:val="0"/>
        <w:pageBreakBefore w:val="0"/>
        <w:widowControl w:val="0"/>
        <w:kinsoku/>
        <w:wordWrap/>
        <w:overflowPunct/>
        <w:topLinePunct/>
        <w:autoSpaceDE/>
        <w:autoSpaceDN/>
        <w:bidi w:val="0"/>
        <w:adjustRightInd/>
        <w:snapToGrid/>
        <w:spacing w:line="580" w:lineRule="exact"/>
        <w:jc w:val="left"/>
        <w:textAlignment w:val="auto"/>
        <w:rPr>
          <w:rFonts w:hint="eastAsia" w:ascii="黑体" w:hAnsi="黑体" w:eastAsia="黑体"/>
          <w:b w:val="0"/>
          <w:bCs w:val="0"/>
          <w:kern w:val="0"/>
          <w:sz w:val="32"/>
          <w:szCs w:val="23"/>
        </w:rPr>
      </w:pPr>
    </w:p>
    <w:p>
      <w:pPr>
        <w:keepNext w:val="0"/>
        <w:keepLines w:val="0"/>
        <w:pageBreakBefore w:val="0"/>
        <w:widowControl w:val="0"/>
        <w:kinsoku/>
        <w:wordWrap/>
        <w:overflowPunct/>
        <w:topLinePunct/>
        <w:autoSpaceDE/>
        <w:autoSpaceDN/>
        <w:bidi w:val="0"/>
        <w:adjustRightInd/>
        <w:snapToGrid/>
        <w:spacing w:line="580" w:lineRule="exact"/>
        <w:jc w:val="left"/>
        <w:textAlignment w:val="auto"/>
        <w:rPr>
          <w:rFonts w:ascii="黑体" w:hAnsi="黑体" w:eastAsia="黑体"/>
          <w:b w:val="0"/>
          <w:bCs w:val="0"/>
          <w:kern w:val="0"/>
          <w:sz w:val="32"/>
          <w:szCs w:val="23"/>
        </w:rPr>
      </w:pPr>
      <w:r>
        <w:rPr>
          <w:rFonts w:hint="eastAsia" w:ascii="黑体" w:hAnsi="黑体" w:eastAsia="黑体"/>
          <w:b w:val="0"/>
          <w:bCs w:val="0"/>
          <w:kern w:val="0"/>
          <w:sz w:val="32"/>
          <w:szCs w:val="23"/>
        </w:rPr>
        <w:br w:type="page"/>
      </w:r>
      <w:bookmarkStart w:id="5" w:name="_GoBack"/>
      <w:r>
        <w:rPr>
          <w:rFonts w:hint="eastAsia" w:ascii="黑体" w:hAnsi="黑体" w:eastAsia="黑体"/>
          <w:b w:val="0"/>
          <w:bCs w:val="0"/>
          <w:kern w:val="0"/>
          <w:sz w:val="32"/>
          <w:szCs w:val="23"/>
        </w:rPr>
        <w:t>附件</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0"/>
        <w:rPr>
          <w:rFonts w:hint="eastAsia" w:ascii="方正小标宋简体" w:hAnsi="等线 Light" w:eastAsia="方正小标宋简体" w:cs="Times New Roman"/>
          <w:b w:val="0"/>
          <w:bCs w:val="0"/>
          <w:kern w:val="0"/>
          <w:sz w:val="44"/>
          <w:szCs w:val="44"/>
          <w:lang w:eastAsia="zh-CN"/>
        </w:rPr>
      </w:pPr>
      <w:r>
        <w:rPr>
          <w:rFonts w:hint="eastAsia" w:ascii="方正小标宋简体" w:hAnsi="等线 Light" w:eastAsia="方正小标宋简体" w:cs="Times New Roman"/>
          <w:b w:val="0"/>
          <w:bCs w:val="0"/>
          <w:kern w:val="0"/>
          <w:sz w:val="44"/>
          <w:szCs w:val="44"/>
        </w:rPr>
        <w:t>内蒙古实验室建设方案</w:t>
      </w:r>
      <w:r>
        <w:rPr>
          <w:rFonts w:hint="eastAsia" w:ascii="方正小标宋简体" w:hAnsi="等线 Light" w:eastAsia="方正小标宋简体" w:cs="Times New Roman"/>
          <w:b w:val="0"/>
          <w:bCs w:val="0"/>
          <w:kern w:val="0"/>
          <w:sz w:val="44"/>
          <w:szCs w:val="44"/>
          <w:lang w:eastAsia="zh-CN"/>
        </w:rPr>
        <w:t>编写提纲</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0"/>
        <w:rPr>
          <w:rFonts w:hint="eastAsia" w:ascii="方正小标宋简体" w:hAnsi="等线 Light" w:eastAsia="方正小标宋简体" w:cs="Times New Roman"/>
          <w:b w:val="0"/>
          <w:bCs w:val="0"/>
          <w:kern w:val="0"/>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b w:val="0"/>
          <w:bCs w:val="0"/>
          <w:kern w:val="0"/>
          <w:sz w:val="32"/>
          <w:szCs w:val="23"/>
        </w:rPr>
      </w:pPr>
      <w:r>
        <w:rPr>
          <w:rFonts w:hint="eastAsia" w:ascii="楷体" w:hAnsi="楷体" w:eastAsia="楷体" w:cs="楷体"/>
          <w:b w:val="0"/>
          <w:bCs w:val="0"/>
          <w:kern w:val="0"/>
          <w:sz w:val="32"/>
          <w:szCs w:val="23"/>
          <w:lang w:eastAsia="zh-CN"/>
        </w:rPr>
        <w:t>（</w:t>
      </w:r>
      <w:r>
        <w:rPr>
          <w:rFonts w:hint="eastAsia" w:ascii="楷体" w:hAnsi="楷体" w:eastAsia="楷体" w:cs="楷体"/>
          <w:b w:val="0"/>
          <w:bCs w:val="0"/>
          <w:kern w:val="0"/>
          <w:sz w:val="32"/>
          <w:szCs w:val="23"/>
        </w:rPr>
        <w:t>包含但不限于以下内容</w:t>
      </w:r>
      <w:r>
        <w:rPr>
          <w:rFonts w:hint="eastAsia" w:ascii="楷体" w:hAnsi="楷体" w:eastAsia="楷体" w:cs="楷体"/>
          <w:b w:val="0"/>
          <w:bCs w:val="0"/>
          <w:kern w:val="0"/>
          <w:sz w:val="32"/>
          <w:szCs w:val="23"/>
          <w:lang w:eastAsia="zh-CN"/>
        </w:rPr>
        <w:t>）</w:t>
      </w:r>
    </w:p>
    <w:p>
      <w:pPr>
        <w:keepNext w:val="0"/>
        <w:keepLines w:val="0"/>
        <w:pageBreakBefore w:val="0"/>
        <w:widowControl w:val="0"/>
        <w:kinsoku/>
        <w:wordWrap/>
        <w:overflowPunct/>
        <w:topLinePunct/>
        <w:autoSpaceDE/>
        <w:autoSpaceDN/>
        <w:bidi w:val="0"/>
        <w:adjustRightInd/>
        <w:snapToGrid/>
        <w:spacing w:line="580" w:lineRule="exact"/>
        <w:jc w:val="left"/>
        <w:textAlignment w:val="auto"/>
        <w:outlineLvl w:val="0"/>
        <w:rPr>
          <w:rFonts w:hint="eastAsia" w:ascii="方正仿宋_GBK" w:hAnsi="方正仿宋_GBK" w:eastAsia="方正仿宋_GBK" w:cs="方正仿宋_GBK"/>
          <w:b w:val="0"/>
          <w:bCs w:val="0"/>
          <w:kern w:val="0"/>
          <w:sz w:val="32"/>
          <w:szCs w:val="23"/>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一、提出背景与战略意义；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二、基础条件与比较优势；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三、建设原则与目标定位；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四、研究方向与研究任务；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五、管理模式与运行机制；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六、建设规划与投资规模；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七、预期科研产出；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八、相关附件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textAlignment w:val="auto"/>
        <w:rPr>
          <w:b w:val="0"/>
          <w:bCs w:val="0"/>
        </w:rPr>
      </w:pPr>
    </w:p>
    <w:bookmarkEnd w:id="5"/>
    <w:p>
      <w:pPr>
        <w:keepNext w:val="0"/>
        <w:keepLines w:val="0"/>
        <w:pageBreakBefore w:val="0"/>
        <w:widowControl w:val="0"/>
        <w:kinsoku/>
        <w:wordWrap/>
        <w:overflowPunct/>
        <w:topLinePunct/>
        <w:autoSpaceDE/>
        <w:autoSpaceDN/>
        <w:bidi w:val="0"/>
        <w:adjustRightInd/>
        <w:snapToGrid/>
        <w:spacing w:line="400" w:lineRule="exact"/>
        <w:textAlignment w:val="auto"/>
        <w:rPr>
          <w:b w:val="0"/>
          <w:bCs w:val="0"/>
        </w:rPr>
      </w:pPr>
    </w:p>
    <w:p>
      <w:pPr>
        <w:keepNext w:val="0"/>
        <w:keepLines w:val="0"/>
        <w:pageBreakBefore w:val="0"/>
        <w:widowControl w:val="0"/>
        <w:kinsoku/>
        <w:wordWrap/>
        <w:overflowPunct/>
        <w:topLinePunct/>
        <w:autoSpaceDE/>
        <w:autoSpaceDN/>
        <w:bidi w:val="0"/>
        <w:adjustRightInd/>
        <w:snapToGrid/>
        <w:spacing w:line="400" w:lineRule="exact"/>
        <w:textAlignment w:val="auto"/>
        <w:rPr>
          <w:b w:val="0"/>
          <w:bCs w:val="0"/>
        </w:rPr>
      </w:pPr>
    </w:p>
    <w:p>
      <w:pPr>
        <w:keepNext w:val="0"/>
        <w:keepLines w:val="0"/>
        <w:pageBreakBefore w:val="0"/>
        <w:widowControl w:val="0"/>
        <w:kinsoku/>
        <w:wordWrap/>
        <w:overflowPunct/>
        <w:topLinePunct/>
        <w:autoSpaceDE/>
        <w:autoSpaceDN/>
        <w:bidi w:val="0"/>
        <w:adjustRightInd/>
        <w:snapToGrid/>
        <w:spacing w:line="400" w:lineRule="exact"/>
        <w:textAlignment w:val="auto"/>
        <w:rPr>
          <w:b w:val="0"/>
          <w:bCs w:val="0"/>
        </w:rPr>
      </w:pPr>
    </w:p>
    <w:p>
      <w:pPr>
        <w:keepNext w:val="0"/>
        <w:keepLines w:val="0"/>
        <w:pageBreakBefore w:val="0"/>
        <w:widowControl w:val="0"/>
        <w:kinsoku/>
        <w:wordWrap/>
        <w:overflowPunct/>
        <w:topLinePunct/>
        <w:autoSpaceDE/>
        <w:autoSpaceDN/>
        <w:bidi w:val="0"/>
        <w:adjustRightInd/>
        <w:snapToGrid/>
        <w:spacing w:line="400" w:lineRule="exact"/>
        <w:textAlignment w:val="auto"/>
        <w:rPr>
          <w:b w:val="0"/>
          <w:bCs w:val="0"/>
        </w:rPr>
      </w:pPr>
    </w:p>
    <w:p>
      <w:pPr>
        <w:keepNext w:val="0"/>
        <w:keepLines w:val="0"/>
        <w:pageBreakBefore w:val="0"/>
        <w:widowControl w:val="0"/>
        <w:kinsoku/>
        <w:wordWrap/>
        <w:overflowPunct/>
        <w:topLinePunct/>
        <w:autoSpaceDE/>
        <w:autoSpaceDN/>
        <w:bidi w:val="0"/>
        <w:adjustRightInd/>
        <w:snapToGrid/>
        <w:spacing w:line="400" w:lineRule="exact"/>
        <w:textAlignment w:val="auto"/>
        <w:rPr>
          <w:b w:val="0"/>
          <w:bCs w:val="0"/>
        </w:rPr>
      </w:pPr>
    </w:p>
    <w:p>
      <w:pPr>
        <w:keepNext w:val="0"/>
        <w:keepLines w:val="0"/>
        <w:pageBreakBefore w:val="0"/>
        <w:widowControl w:val="0"/>
        <w:kinsoku/>
        <w:wordWrap/>
        <w:overflowPunct/>
        <w:topLinePunct/>
        <w:autoSpaceDE/>
        <w:autoSpaceDN/>
        <w:bidi w:val="0"/>
        <w:adjustRightInd w:val="0"/>
        <w:snapToGrid w:val="0"/>
        <w:spacing w:line="400" w:lineRule="exact"/>
        <w:ind w:firstLine="640" w:firstLineChars="200"/>
        <w:textAlignment w:val="auto"/>
        <w:rPr>
          <w:rFonts w:hint="eastAsia" w:ascii="黑体" w:eastAsia="黑体"/>
          <w:sz w:val="32"/>
        </w:rPr>
      </w:pPr>
    </w:p>
    <w:tbl>
      <w:tblPr>
        <w:tblStyle w:val="9"/>
        <w:tblW w:w="9006"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166"/>
        <w:gridCol w:w="38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6" w:hRule="atLeast"/>
          <w:jc w:val="center"/>
        </w:trPr>
        <w:tc>
          <w:tcPr>
            <w:tcW w:w="9006" w:type="dxa"/>
            <w:gridSpan w:val="2"/>
            <w:tcBorders>
              <w:tl2br w:val="nil"/>
              <w:tr2bl w:val="nil"/>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95" w:beforeLines="30" w:line="400" w:lineRule="exact"/>
              <w:ind w:left="315" w:leftChars="150" w:right="315" w:rightChars="150"/>
              <w:textAlignment w:val="auto"/>
              <w:rPr>
                <w:rFonts w:hint="eastAsia" w:ascii="仿宋" w:hAnsi="仿宋" w:eastAsia="仿宋" w:cs="仿宋"/>
                <w:sz w:val="28"/>
                <w:szCs w:val="28"/>
              </w:rPr>
            </w:pPr>
            <w:r>
              <w:rPr>
                <w:rFonts w:hint="eastAsia" w:ascii="仿宋" w:hAnsi="仿宋" w:eastAsia="仿宋" w:cs="仿宋"/>
                <w:sz w:val="28"/>
                <w:szCs w:val="28"/>
              </w:rPr>
              <w:t>抄送：</w:t>
            </w:r>
            <w:bookmarkStart w:id="3" w:name="抄送单位"/>
            <w:bookmarkEnd w:id="3"/>
            <w:r>
              <w:rPr>
                <w:rFonts w:hint="eastAsia" w:ascii="仿宋" w:hAnsi="仿宋" w:eastAsia="仿宋" w:cs="仿宋"/>
                <w:sz w:val="28"/>
                <w:szCs w:val="28"/>
              </w:rPr>
              <w:t>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53" w:leftChars="549" w:right="315" w:rightChars="15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自治区人大常委会办公厅、政协办公厅，自治区监委，</w:t>
            </w:r>
            <w:r>
              <w:rPr>
                <w:rFonts w:hint="eastAsia" w:ascii="仿宋" w:hAnsi="仿宋" w:eastAsia="仿宋" w:cs="仿宋"/>
                <w:sz w:val="28"/>
                <w:szCs w:val="28"/>
                <w:lang w:eastAsia="zh-CN"/>
              </w:rPr>
              <w:t>自治区</w:t>
            </w:r>
            <w:r>
              <w:rPr>
                <w:rFonts w:hint="eastAsia" w:ascii="仿宋" w:hAnsi="仿宋" w:eastAsia="仿宋" w:cs="仿宋"/>
                <w:sz w:val="28"/>
                <w:szCs w:val="28"/>
                <w:lang w:val="en-US" w:eastAsia="zh-CN"/>
              </w:rPr>
              <w:t>高</w:t>
            </w:r>
            <w:r>
              <w:rPr>
                <w:rFonts w:hint="eastAsia" w:ascii="仿宋" w:hAnsi="仿宋" w:eastAsia="仿宋" w:cs="仿宋"/>
                <w:sz w:val="28"/>
                <w:szCs w:val="28"/>
              </w:rPr>
              <w:t>级人民法院，检察院。</w:t>
            </w:r>
          </w:p>
          <w:p>
            <w:pPr>
              <w:keepNext w:val="0"/>
              <w:keepLines w:val="0"/>
              <w:pageBreakBefore w:val="0"/>
              <w:widowControl w:val="0"/>
              <w:kinsoku/>
              <w:wordWrap/>
              <w:overflowPunct/>
              <w:topLinePunct w:val="0"/>
              <w:autoSpaceDE/>
              <w:autoSpaceDN/>
              <w:bidi w:val="0"/>
              <w:adjustRightInd/>
              <w:snapToGrid/>
              <w:spacing w:after="95" w:afterLines="30" w:line="400" w:lineRule="exact"/>
              <w:ind w:left="315" w:leftChars="150" w:right="315" w:rightChars="15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1" w:hRule="atLeast"/>
          <w:jc w:val="center"/>
        </w:trPr>
        <w:tc>
          <w:tcPr>
            <w:tcW w:w="5166" w:type="dxa"/>
            <w:tcBorders>
              <w:tl2br w:val="nil"/>
              <w:tr2bl w:val="nil"/>
            </w:tcBorders>
            <w:noWrap w:val="0"/>
            <w:tcMar>
              <w:left w:w="0" w:type="dxa"/>
              <w:right w:w="0" w:type="dxa"/>
            </w:tcMar>
            <w:vAlign w:val="top"/>
          </w:tcPr>
          <w:p>
            <w:pPr>
              <w:rPr>
                <w:rFonts w:hint="eastAsia" w:ascii="仿宋" w:hAnsi="仿宋" w:eastAsia="仿宋" w:cs="仿宋"/>
                <w:sz w:val="28"/>
                <w:szCs w:val="28"/>
              </w:rPr>
            </w:pPr>
            <w:r>
              <w:rPr>
                <w:rFonts w:hint="eastAsia" w:ascii="仿宋" w:hAnsi="仿宋" w:eastAsia="仿宋" w:cs="仿宋"/>
                <w:sz w:val="28"/>
                <w:szCs w:val="28"/>
              </w:rPr>
              <w:t xml:space="preserve">  内蒙古自治区人民政府办公厅文电处</w:t>
            </w:r>
          </w:p>
        </w:tc>
        <w:tc>
          <w:tcPr>
            <w:tcW w:w="3840" w:type="dxa"/>
            <w:tcBorders>
              <w:tl2br w:val="nil"/>
              <w:tr2bl w:val="nil"/>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ind w:right="315" w:rightChars="150" w:firstLine="840" w:firstLineChars="300"/>
              <w:textAlignment w:val="auto"/>
              <w:rPr>
                <w:rFonts w:hint="eastAsia" w:ascii="仿宋" w:hAnsi="仿宋" w:eastAsia="仿宋" w:cs="仿宋"/>
                <w:sz w:val="28"/>
                <w:szCs w:val="28"/>
              </w:rPr>
            </w:pPr>
            <w:bookmarkStart w:id="4" w:name="印发日期"/>
            <w:bookmarkEnd w:id="4"/>
            <w:r>
              <w:rPr>
                <w:rFonts w:hint="eastAsia" w:ascii="仿宋" w:hAnsi="仿宋" w:eastAsia="仿宋" w:cs="仿宋"/>
                <w:sz w:val="28"/>
                <w:szCs w:val="28"/>
                <w:lang w:val="en-US" w:eastAsia="zh-CN"/>
              </w:rPr>
              <w:t>2023年3月21日</w:t>
            </w:r>
            <w:r>
              <w:rPr>
                <w:rFonts w:hint="eastAsia" w:ascii="仿宋" w:hAnsi="仿宋" w:eastAsia="仿宋" w:cs="仿宋"/>
                <w:sz w:val="28"/>
                <w:szCs w:val="28"/>
              </w:rPr>
              <w:t>印发</w:t>
            </w:r>
          </w:p>
        </w:tc>
      </w:tr>
    </w:tbl>
    <w:p>
      <w:pPr>
        <w:keepNext w:val="0"/>
        <w:keepLines w:val="0"/>
        <w:pageBreakBefore w:val="0"/>
        <w:widowControl w:val="0"/>
        <w:kinsoku/>
        <w:wordWrap/>
        <w:overflowPunct/>
        <w:topLinePunct/>
        <w:autoSpaceDE/>
        <w:autoSpaceDN/>
        <w:bidi w:val="0"/>
        <w:adjustRightInd/>
        <w:snapToGrid/>
        <w:spacing w:line="20" w:lineRule="exact"/>
        <w:textAlignment w:val="auto"/>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549325C"/>
    <w:rsid w:val="06906D19"/>
    <w:rsid w:val="074D26E8"/>
    <w:rsid w:val="08A170B1"/>
    <w:rsid w:val="0EBB47D3"/>
    <w:rsid w:val="0F166B12"/>
    <w:rsid w:val="110F26B1"/>
    <w:rsid w:val="117F42EA"/>
    <w:rsid w:val="12922C6B"/>
    <w:rsid w:val="13404ED0"/>
    <w:rsid w:val="14534D84"/>
    <w:rsid w:val="16B35554"/>
    <w:rsid w:val="184840DF"/>
    <w:rsid w:val="19221ABB"/>
    <w:rsid w:val="1A7D41CF"/>
    <w:rsid w:val="1FD3237E"/>
    <w:rsid w:val="21CE0EBF"/>
    <w:rsid w:val="24485B15"/>
    <w:rsid w:val="29677737"/>
    <w:rsid w:val="2A163104"/>
    <w:rsid w:val="2DF24EB1"/>
    <w:rsid w:val="35DB5CAC"/>
    <w:rsid w:val="38367A4B"/>
    <w:rsid w:val="3ABA261A"/>
    <w:rsid w:val="3C0E42DD"/>
    <w:rsid w:val="3CF9080A"/>
    <w:rsid w:val="3D00357B"/>
    <w:rsid w:val="3D1E30B4"/>
    <w:rsid w:val="41303F97"/>
    <w:rsid w:val="418465EE"/>
    <w:rsid w:val="43373871"/>
    <w:rsid w:val="44E73704"/>
    <w:rsid w:val="456E4695"/>
    <w:rsid w:val="4BB12688"/>
    <w:rsid w:val="4F878FED"/>
    <w:rsid w:val="507816B9"/>
    <w:rsid w:val="51650C56"/>
    <w:rsid w:val="518E0390"/>
    <w:rsid w:val="571B1E1A"/>
    <w:rsid w:val="586E35BE"/>
    <w:rsid w:val="5AAB299C"/>
    <w:rsid w:val="5BAE3879"/>
    <w:rsid w:val="5F430378"/>
    <w:rsid w:val="63B002CF"/>
    <w:rsid w:val="64A03AA7"/>
    <w:rsid w:val="64B86B45"/>
    <w:rsid w:val="651F3B34"/>
    <w:rsid w:val="674256EE"/>
    <w:rsid w:val="67465902"/>
    <w:rsid w:val="6ADE2815"/>
    <w:rsid w:val="6BDC0553"/>
    <w:rsid w:val="6CCA4D38"/>
    <w:rsid w:val="6E087B0E"/>
    <w:rsid w:val="6F2C465B"/>
    <w:rsid w:val="73372061"/>
    <w:rsid w:val="73E95B96"/>
    <w:rsid w:val="7BEFA8F0"/>
    <w:rsid w:val="7C743CB2"/>
    <w:rsid w:val="7D164783"/>
    <w:rsid w:val="7E7C61CA"/>
    <w:rsid w:val="7E960D71"/>
    <w:rsid w:val="7F3E2F95"/>
    <w:rsid w:val="AACE6843"/>
    <w:rsid w:val="CFFBFF38"/>
    <w:rsid w:val="DCF982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3"/>
    <w:uiPriority w:val="0"/>
    <w:pPr>
      <w:ind w:left="100" w:leftChars="2500"/>
    </w:pPr>
    <w:rPr>
      <w:rFonts w:ascii="仿宋_GB2312" w:eastAsia="仿宋_GB2312"/>
      <w:sz w:val="32"/>
    </w:rPr>
  </w:style>
  <w:style w:type="paragraph" w:styleId="4">
    <w:name w:val="Balloon Text"/>
    <w:basedOn w:val="1"/>
    <w:link w:val="14"/>
    <w:semiHidden/>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ar-SA"/>
    </w:rPr>
  </w:style>
  <w:style w:type="paragraph" w:styleId="8">
    <w:name w:val="Title"/>
    <w:basedOn w:val="1"/>
    <w:next w:val="1"/>
    <w:link w:val="17"/>
    <w:qFormat/>
    <w:uiPriority w:val="10"/>
    <w:pPr>
      <w:spacing w:before="240" w:after="60"/>
      <w:jc w:val="center"/>
      <w:outlineLvl w:val="0"/>
    </w:pPr>
    <w:rPr>
      <w:rFonts w:ascii="Cambria" w:hAnsi="Cambria" w:eastAsia="方正小标宋简体" w:cs="Times New Roman"/>
      <w:b/>
      <w:bCs/>
      <w:sz w:val="44"/>
      <w:szCs w:val="32"/>
      <w:lang w:bidi="ar-SA"/>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 Char Char2"/>
    <w:basedOn w:val="11"/>
    <w:link w:val="3"/>
    <w:uiPriority w:val="0"/>
    <w:rPr>
      <w:rFonts w:ascii="仿宋_GB2312" w:hAnsi="Times New Roman" w:eastAsia="仿宋_GB2312" w:cs="Times New Roman"/>
      <w:kern w:val="2"/>
      <w:sz w:val="32"/>
      <w:szCs w:val="24"/>
      <w:lang w:bidi="ar-SA"/>
    </w:rPr>
  </w:style>
  <w:style w:type="character" w:customStyle="1" w:styleId="14">
    <w:name w:val="批注框文本 字符"/>
    <w:basedOn w:val="11"/>
    <w:link w:val="4"/>
    <w:semiHidden/>
    <w:qFormat/>
    <w:uiPriority w:val="99"/>
    <w:rPr>
      <w:rFonts w:ascii="Times New Roman" w:hAnsi="Times New Roman" w:eastAsia="宋体" w:cs="Times New Roman"/>
      <w:sz w:val="18"/>
      <w:szCs w:val="18"/>
    </w:rPr>
  </w:style>
  <w:style w:type="character" w:customStyle="1" w:styleId="15">
    <w:name w:val=" Char Char"/>
    <w:basedOn w:val="11"/>
    <w:link w:val="5"/>
    <w:semiHidden/>
    <w:uiPriority w:val="99"/>
    <w:rPr>
      <w:rFonts w:ascii="Calibri" w:hAnsi="Calibri" w:eastAsia="宋体" w:cs="Mongolian Baiti"/>
      <w:kern w:val="2"/>
      <w:sz w:val="18"/>
      <w:szCs w:val="22"/>
    </w:rPr>
  </w:style>
  <w:style w:type="character" w:customStyle="1" w:styleId="16">
    <w:name w:val=" Char Char1"/>
    <w:basedOn w:val="11"/>
    <w:link w:val="6"/>
    <w:semiHidden/>
    <w:uiPriority w:val="99"/>
    <w:rPr>
      <w:rFonts w:ascii="Calibri" w:hAnsi="Calibri" w:eastAsia="宋体" w:cs="Mongolian Baiti"/>
      <w:kern w:val="2"/>
      <w:sz w:val="18"/>
      <w:szCs w:val="22"/>
    </w:rPr>
  </w:style>
  <w:style w:type="character" w:customStyle="1" w:styleId="17">
    <w:name w:val="标题 字符"/>
    <w:basedOn w:val="11"/>
    <w:link w:val="8"/>
    <w:qFormat/>
    <w:uiPriority w:val="10"/>
    <w:rPr>
      <w:rFonts w:ascii="Cambria" w:hAnsi="Cambria" w:eastAsia="方正小标宋简体" w:cs="Times New Roman"/>
      <w:b/>
      <w:bCs/>
      <w:sz w:val="44"/>
      <w:szCs w:val="32"/>
    </w:rPr>
  </w:style>
  <w:style w:type="character" w:customStyle="1" w:styleId="18">
    <w:name w:val="日期 字符"/>
    <w:basedOn w:val="11"/>
    <w:semiHidden/>
    <w:qFormat/>
    <w:uiPriority w:val="99"/>
    <w:rPr>
      <w:rFonts w:ascii="等线" w:hAnsi="等线" w:eastAsia="等线" w:cs="黑体"/>
    </w:rPr>
  </w:style>
  <w:style w:type="character" w:customStyle="1" w:styleId="19">
    <w:name w:val="页脚 字符"/>
    <w:basedOn w:val="11"/>
    <w:qFormat/>
    <w:uiPriority w:val="99"/>
    <w:rPr>
      <w:rFonts w:ascii="等线" w:hAnsi="等线" w:eastAsia="等线" w:cs="黑体"/>
      <w:sz w:val="18"/>
      <w:szCs w:val="18"/>
    </w:rPr>
  </w:style>
  <w:style w:type="character" w:customStyle="1" w:styleId="20">
    <w:name w:val="页眉 字符"/>
    <w:basedOn w:val="11"/>
    <w:qFormat/>
    <w:uiPriority w:val="99"/>
    <w:rPr>
      <w:rFonts w:ascii="等线" w:hAnsi="等线" w:eastAsia="等线"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6</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2012-09-18T12:59:00Z</dcterms:created>
  <dc:creator>阿拉善盟行政公署:打印</dc:creator>
  <cp:lastModifiedBy>zwfw</cp:lastModifiedBy>
  <cp:lastPrinted>2023-03-23T09:40:42Z</cp:lastPrinted>
  <dcterms:modified xsi:type="dcterms:W3CDTF">2023-03-27T01:37:42Z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