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beforeAutospacing="0" w:afterAutospacing="0" w:line="580" w:lineRule="exact"/>
        <w:ind w:left="0" w:leftChars="0" w:right="0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beforeAutospacing="0" w:afterAutospacing="0" w:line="580" w:lineRule="exact"/>
        <w:ind w:left="0" w:leftChars="0" w:right="0"/>
        <w:jc w:val="center"/>
        <w:textAlignment w:val="auto"/>
        <w:rPr>
          <w:rFonts w:ascii="Times New Roman" w:hAnsi="Times New Roman" w:eastAsia="方正小标宋简体"/>
          <w:kern w:val="2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beforeAutospacing="0" w:afterAutospacing="0" w:line="580" w:lineRule="exact"/>
        <w:ind w:left="0" w:leftChars="0" w:right="0"/>
        <w:jc w:val="center"/>
        <w:textAlignment w:val="auto"/>
        <w:rPr>
          <w:rFonts w:ascii="Times New Roman" w:hAnsi="Times New Roman" w:eastAsia="方正小标宋简体"/>
          <w:kern w:val="2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内蒙古自治区</w:t>
      </w:r>
      <w:r>
        <w:rPr>
          <w:rFonts w:hint="eastAsia" w:ascii="Times New Roman" w:hAnsi="Times New Roman" w:eastAsia="方正小标宋简体"/>
          <w:kern w:val="2"/>
          <w:sz w:val="44"/>
          <w:szCs w:val="44"/>
        </w:rPr>
        <w:t>生物灾害</w:t>
      </w:r>
      <w:r>
        <w:rPr>
          <w:rFonts w:ascii="Times New Roman" w:hAnsi="Times New Roman" w:eastAsia="方正小标宋简体"/>
          <w:kern w:val="2"/>
          <w:sz w:val="44"/>
          <w:szCs w:val="44"/>
        </w:rPr>
        <w:t>应急指挥部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beforeAutospacing="0" w:afterAutospacing="0" w:line="580" w:lineRule="exact"/>
        <w:ind w:left="0" w:leftChars="0" w:right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kern w:val="2"/>
          <w:sz w:val="44"/>
          <w:szCs w:val="44"/>
        </w:rPr>
        <w:t>组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小标宋简体"/>
          <w:kern w:val="2"/>
          <w:sz w:val="44"/>
          <w:szCs w:val="44"/>
        </w:rPr>
        <w:t>成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小标宋简体"/>
          <w:kern w:val="2"/>
          <w:sz w:val="44"/>
          <w:szCs w:val="44"/>
        </w:rPr>
        <w:t>及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小标宋简体"/>
          <w:kern w:val="2"/>
          <w:sz w:val="44"/>
          <w:szCs w:val="44"/>
        </w:rPr>
        <w:t>工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小标宋简体"/>
          <w:kern w:val="2"/>
          <w:sz w:val="44"/>
          <w:szCs w:val="44"/>
        </w:rPr>
        <w:t>作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小标宋简体"/>
          <w:kern w:val="2"/>
          <w:sz w:val="44"/>
          <w:szCs w:val="44"/>
        </w:rPr>
        <w:t>职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val="en-US" w:eastAsia="zh-CN"/>
        </w:rPr>
        <w:t xml:space="preserve"> </w:t>
      </w:r>
      <w:r>
        <w:rPr>
          <w:rFonts w:ascii="Times New Roman" w:hAnsi="Times New Roman" w:eastAsia="方正小标宋简体"/>
          <w:kern w:val="2"/>
          <w:sz w:val="44"/>
          <w:szCs w:val="44"/>
        </w:rPr>
        <w:t>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一、自治区指挥部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工作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负责贯彻落实党中央、国务院关于生物灾害防控工作的决策部署及自治区党委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，统一领导、组织、指挥、协调全区生物灾害应急处置工作，研究、协调、解决生物灾害处置过程中出现的重大问题及盟市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指挥部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的请示和应急需求。落实相关责任，统一指挥和部署全区应急处置工作。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/>
        <w:jc w:val="both"/>
        <w:textAlignment w:val="auto"/>
        <w:rPr>
          <w:rFonts w:hint="eastAsia" w:ascii="方正黑体_GBK" w:hAnsi="方正黑体_GBK" w:eastAsia="方正黑体_GBK" w:cs="方正黑体_GBK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二、自治区指挥部办公室工作职责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负责自治区指挥部的日常工作；督促落实自治区指挥部的决定事项；负责应急值守、信息汇总与核实；根据生物灾害的进展情况，向自治区指挥部提出启动、变更、终止特别重大、重大生物灾害应急响应建议；组织协调盟市和有关部门做好监测预警、应急演练、应急保障、应急处置、调查评估、信息发布和宣传培训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自治区指挥部工作组组成及工作职责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（一）综合协调组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由自治区农牧厅、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林草局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牵头，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自然资源厅、生态环境厅、住房城乡建设厅、水利厅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呼和浩特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海关、满洲里海关，相关盟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  <w:lang w:eastAsia="zh-CN"/>
        </w:rPr>
        <w:t>行政公署、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市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  <w:lang w:eastAsia="zh-CN"/>
        </w:rPr>
        <w:t>人民政府，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旗县（市、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区）人民政府参加。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主要职责：与相关部门及地方党委和政府衔接生物灾害应急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处置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工作；建立应急响应期间工作机制；统筹协调各工作组工作；汇总上报有关情况、采取措施等工作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（二）信息管理组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由自治区农牧厅、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eastAsia="zh-CN"/>
        </w:rPr>
        <w:t>林草局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牵头，自治区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shd w:val="clear" w:color="auto" w:fill="FFFFFF"/>
        </w:rPr>
        <w:t>自然资源厅、</w:t>
      </w:r>
      <w:bookmarkStart w:id="0" w:name="_Hlk121182108"/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shd w:val="clear" w:color="auto" w:fill="FFFFFF"/>
        </w:rPr>
        <w:t>生态环境厅、住房城乡建设厅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shd w:val="clear" w:color="auto" w:fill="FFFFFF"/>
          <w:lang w:eastAsia="zh-CN"/>
        </w:rPr>
        <w:t>，内蒙古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shd w:val="clear" w:color="auto" w:fill="FFFFFF"/>
        </w:rPr>
        <w:t>气象局、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呼和浩特海关、满洲里海关、中国铁路呼和浩特局集团有限公司</w:t>
      </w:r>
      <w:bookmarkEnd w:id="0"/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相关盟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  <w:lang w:eastAsia="zh-CN"/>
        </w:rPr>
        <w:t>行政公署、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市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  <w:lang w:eastAsia="zh-CN"/>
        </w:rPr>
        <w:t>人民政府，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旗县（市、区）人民政府参加。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主要职责：管理、收集、分析、报送重要信息；派出工作组对突发事件发生情况进行核实评估；准备灾区地理、气象等信息数据，组织应急测绘，开展灾情监测和空间分析，提供应急测绘保障服务。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（三）现场处置组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由自治区农牧厅、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林草局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牵头，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应急管理厅、交通运输厅，相关盟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行政公署、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人民政府，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旗县（市、区）人民政府参加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；自治区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住房城乡建设厅、呼和浩特海关、满洲里海关等部门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根据外来物种入侵突发事件和生物灾害发生生境参加。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主要职责：协调有关专业化防控队伍、社会化防控力量以及专业志愿者</w:t>
      </w:r>
      <w:bookmarkStart w:id="1" w:name="_Hlk121181851"/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，与突发事件发生地共同开展外来物种入侵突发事件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shd w:val="clear" w:color="auto" w:fill="FFFFFF"/>
        </w:rPr>
        <w:t>和生物灾害应急防控和灭除工作。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（四）物资保障组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由自治区农牧厅、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林草局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牵头，自治区财政厅、交通运输厅、应急管理厅，相关盟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行政公署、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人民政府，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旗县（市、区）人民政府参加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；自治区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自然资源厅、住房城乡建设厅、呼和浩特海关、满洲里海关等部门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根据外来物种入侵突发事件和生物灾害发生生境参加。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主要职责：负责按照自治区指挥部的要求采购、调拨、发放、回收防控物资、生活和办公用品，保障突发事件处理所需资金及时到位，并做好资金使用情况的监管。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</w:t>
      </w:r>
      <w:bookmarkStart w:id="2" w:name="_Hlk121180886"/>
      <w:r>
        <w:rPr>
          <w:rFonts w:hint="eastAsia" w:ascii="方正楷体_GBK" w:hAnsi="方正楷体_GBK" w:eastAsia="方正楷体_GBK" w:cs="方正楷体_GBK"/>
          <w:spacing w:val="0"/>
          <w:sz w:val="32"/>
          <w:szCs w:val="32"/>
        </w:rPr>
        <w:t>安全维稳组</w:t>
      </w:r>
      <w:bookmarkEnd w:id="2"/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shd w:val="clear" w:color="auto" w:fill="FFFFFF"/>
        </w:rPr>
        <w:t>由自治区公安厅牵头，自治区交通运输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厅，相关盟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  <w:lang w:eastAsia="zh-CN"/>
        </w:rPr>
        <w:t>行政公署、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市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  <w:lang w:eastAsia="zh-CN"/>
        </w:rPr>
        <w:t>人民政府，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旗县（市、区）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  <w:lang w:eastAsia="zh-CN"/>
        </w:rPr>
        <w:t>人民政府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参加。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主要职责：组织调集警力，指导突发事件发生地属地加强治安管理和安全保卫工作，依法打击各类违法犯罪活动，维护现场及周边社会治安和道路交通秩序，禁止外来入侵物种和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林业和草原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有害生物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寄主或可能携带该外来入侵物种及制品进出隔离防控区域，保证防控灭除工作顺利进行。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、自治区指挥部成员单位职责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自治区农牧厅：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承担自治区指挥部日常工作；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会同自治区林草局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制定（修订）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生物灾害应急预案；负责监测及信息报告，及时提出灾害预警建议，组织进行分析和评估，制定防控技术方案；提出应急防控经费和物资使用建议；组织开展技术宣传培训，指导开展防控工作。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-6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自治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shd w:val="clear" w:color="auto" w:fill="FFFFFF"/>
        </w:rPr>
        <w:t>区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shd w:val="clear" w:color="auto" w:fill="FFFFFF"/>
          <w:lang w:eastAsia="zh-CN"/>
        </w:rPr>
        <w:t>林草局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shd w:val="clear" w:color="auto" w:fill="FFFFFF"/>
        </w:rPr>
        <w:t>：承担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shd w:val="clear" w:color="auto" w:fill="FFFFFF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shd w:val="clear" w:color="auto" w:fill="FFFFFF"/>
        </w:rPr>
        <w:t>指挥部日常工作；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会同自治区农牧厅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制定（修订）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生物灾害应急预案</w:t>
      </w:r>
      <w:r>
        <w:rPr>
          <w:rFonts w:hint="eastAsia" w:ascii="方正仿宋_GBK" w:hAnsi="方正仿宋_GBK" w:eastAsia="方正仿宋_GBK" w:cs="方正仿宋_GBK"/>
          <w:color w:val="auto"/>
          <w:spacing w:val="-6"/>
          <w:sz w:val="32"/>
          <w:szCs w:val="32"/>
          <w:shd w:val="clear" w:color="auto" w:fill="FFFFFF"/>
        </w:rPr>
        <w:t>；负责森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shd w:val="clear" w:color="auto" w:fill="FFFFFF"/>
        </w:rPr>
        <w:t>林、草原、湿地生态系统和自然保护地监测预警工作；负责技术鉴定、诊断灾情、风险评估，组织实施检疫封锁、除害处理等应急处置工作；负责应急储备物资的管理，提出应急经费使用建议；与农牧部门加强在共生外来入侵物种和农业重大有害生物监测、分析、预警、应急和防控等方面的沟通合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1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自治区发展改革委：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shd w:val="clear" w:color="auto" w:fill="FFFFFF"/>
        </w:rPr>
        <w:t>负责监测、检疫、除治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shd w:val="clear" w:color="auto" w:fill="FFFFFF"/>
          <w:lang w:eastAsia="zh-CN"/>
        </w:rPr>
        <w:t>林业和草原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shd w:val="clear" w:color="auto" w:fill="FFFFFF"/>
        </w:rPr>
        <w:t>有害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shd w:val="clear" w:color="auto" w:fill="FFFFFF"/>
          <w:lang w:eastAsia="zh-CN"/>
        </w:rPr>
        <w:t>生物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shd w:val="clear" w:color="auto" w:fill="FFFFFF"/>
        </w:rPr>
        <w:t>防治方面中央预算内资金争取工作。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自治区科技厅：负责组织实施自治区科技计划项目，开展农业外来物种、农业重大有害生物灾害和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林业和草原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有害生物灾防控技术研究，提供防灾减灾科技支撑。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治区工业和信息化厅：负责无线电频率的指配，排查无线电干扰，保障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eastAsia="zh-CN"/>
        </w:rPr>
        <w:t>生物灾害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应急处置所需的应急无线电频率正常使用。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自治区公安厅：负责生物灾害发生地的社会治安管理。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自治区民政厅：做好灾后救助工作衔接，对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应急管理部门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应急期、过渡期救助后，基本生活仍存在较大困难的受灾人员给予临时救助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。符合低保条件的按规定纳入最低生活保障。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自治区财政厅：负责筹措、拨付生物灾害监测预警、应急处置自治区级所需资金，保证防治经费及时足额到位，并对防治经费的使用进行管理和监督。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自治区自然资源厅：负责准备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生物灾害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发生地区地理信息数据，组织应急测绘，提供应急测绘保障服务。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firstLine="684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shd w:val="clear" w:color="auto" w:fill="FFFFFF"/>
        </w:rPr>
        <w:t>自治区生态环境厅：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shd w:val="clear" w:color="auto" w:fill="FFFFFF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shd w:val="clear" w:color="auto" w:fill="FFFFFF"/>
        </w:rPr>
        <w:t>加强与农牧、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shd w:val="clear" w:color="auto" w:fill="FFFFFF"/>
          <w:lang w:eastAsia="zh-CN"/>
        </w:rPr>
        <w:t>林草部门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shd w:val="clear" w:color="auto" w:fill="FFFFFF"/>
        </w:rPr>
        <w:t>在外来入侵物种和农业重大有害生物监测、分析、预警等方面的沟通合作。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自治区住房城乡建设厅：负责城镇绿化中发生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林业和草原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生物灾害的应急处置工作；与农牧部门加强在共生外来入侵物种和农业重大有害生物监测、分析、预警、应急和防控等方面的沟通合作。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自治区交通运输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厅：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负责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指导做好生物灾害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应急处置人员及防控物资的公路、水路运输保障工作；配合农牧、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  <w:lang w:eastAsia="zh-CN"/>
        </w:rPr>
        <w:t>林草部门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做好运输监管工作，防止植物检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疫性外来入侵物种进入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传播蔓延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</w:rPr>
        <w:t>负责与农牧、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lang w:eastAsia="zh-CN"/>
        </w:rPr>
        <w:t>林草部门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</w:rPr>
        <w:t>加强沟通合作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lang w:eastAsia="zh-CN"/>
        </w:rPr>
        <w:t>，在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shd w:val="clear" w:color="auto" w:fill="FFFFFF"/>
        </w:rPr>
        <w:t>公路沿线区域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lang w:eastAsia="zh-CN"/>
        </w:rPr>
        <w:t>做好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</w:rPr>
        <w:t>共生外来入侵物种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</w:rPr>
        <w:t>监测、分析、预警、应急和防控等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color w:val="auto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自治区卫生健康委：负责组织、协调做好生物灾害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发生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医疗卫生救援和涉及生命健康的疫情处置工作。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84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shd w:val="clear" w:color="auto" w:fill="FFFFFF"/>
        </w:rPr>
        <w:t>自治区应急管理厅：负责在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职责范围内协助开展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lang w:eastAsia="zh-CN"/>
        </w:rPr>
        <w:t>生物灾害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应急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  <w:lang w:eastAsia="zh-CN"/>
        </w:rPr>
        <w:t>处置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自治区审计厅：负责生物灾害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应急资金的审计监督。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自治区广电局：配合做好生物灾害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应急防控相关知识、技术的宣传普及工作。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自治区市场监管局：负责生物灾害应急物资市场价格行为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的监管。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国家金融监督管理总局内蒙古监管局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：负责监督协调有关保险机构做好生物灾害的保险理赔工作。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内蒙古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气象局：负责为生物灾害监测预警及时提供气象分析资料，为应急处置提供气象信息服务。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仿宋" w:hAnsi="仿宋" w:eastAsia="仿宋"/>
          <w:szCs w:val="2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内蒙古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邮政管理局：按照《禁止寄递物品管理规定》，督促邮政快递企业落实收寄验视制度。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呼和浩特海关、满洲里海关：配合农牧部门建立健全信息互通制度，按照规定通报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口岸截获农业植物检疫性农业外来入</w:t>
      </w:r>
      <w:r>
        <w:rPr>
          <w:rFonts w:hint="eastAsia" w:ascii="方正仿宋_GBK" w:hAnsi="方正仿宋_GBK" w:eastAsia="方正仿宋_GBK" w:cs="方正仿宋_GBK"/>
          <w:spacing w:val="11"/>
          <w:sz w:val="32"/>
          <w:szCs w:val="32"/>
        </w:rPr>
        <w:t>侵物种等情况，负责植物疫情的进出境检疫监管及检疫处理，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防止进境植物检疫性农业外来入侵物种传入；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配合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  <w:lang w:eastAsia="zh-CN"/>
        </w:rPr>
        <w:t>林草部门</w:t>
      </w:r>
      <w:r>
        <w:rPr>
          <w:rFonts w:hint="eastAsia" w:ascii="方正仿宋_GBK" w:hAnsi="方正仿宋_GBK" w:eastAsia="方正仿宋_GBK" w:cs="方正仿宋_GBK"/>
          <w:spacing w:val="6"/>
          <w:kern w:val="0"/>
          <w:sz w:val="32"/>
          <w:szCs w:val="32"/>
        </w:rPr>
        <w:t>依法对出入境的货物、交通工具、木质包装材料等进行检验检疫，严防外来林业有害生物入侵，并及时向</w:t>
      </w:r>
      <w:r>
        <w:rPr>
          <w:rFonts w:hint="eastAsia" w:ascii="方正仿宋_GBK" w:hAnsi="方正仿宋_GBK" w:eastAsia="方正仿宋_GBK" w:cs="方正仿宋_GBK"/>
          <w:spacing w:val="6"/>
          <w:kern w:val="0"/>
          <w:sz w:val="32"/>
          <w:szCs w:val="32"/>
          <w:lang w:eastAsia="zh-CN"/>
        </w:rPr>
        <w:t>自治区</w:t>
      </w:r>
      <w:r>
        <w:rPr>
          <w:rFonts w:hint="eastAsia" w:ascii="方正仿宋_GBK" w:hAnsi="方正仿宋_GBK" w:eastAsia="方正仿宋_GBK" w:cs="方正仿宋_GBK"/>
          <w:spacing w:val="6"/>
          <w:kern w:val="0"/>
          <w:sz w:val="32"/>
          <w:szCs w:val="32"/>
        </w:rPr>
        <w:t>指挥部办公室通报相关情况。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内蒙古军区、武警内蒙古总队：在做好辖区内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  <w:lang w:eastAsia="zh-CN"/>
        </w:rPr>
        <w:t>林业和草原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shd w:val="clear" w:color="auto" w:fill="FFFFFF"/>
        </w:rPr>
        <w:t>有害生物预防和除治工作的同时，积极配合地方开展应急救灾工作。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中国铁路呼和浩特局集团有限公司：配合农牧、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林草部门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做好种子苗木、应施检疫的植物及其产品的检疫工作，落实凭植物检疫证书承运相关要求。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内蒙古民航机场集团有限责任公司：负责执行关于国内托运、邮寄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林业和草原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植物及其产品实施检疫的有关规定，严格检验《植物检疫证书》，协助检疫机构做好复检工作。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自治区农牧科学院、内蒙古农业大学、自治区林业科学研究院、中国农业科学院草原研究所：开展农业、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  <w:lang w:eastAsia="zh-CN"/>
        </w:rPr>
        <w:t>林业和草原</w:t>
      </w:r>
      <w:r>
        <w:rPr>
          <w:rFonts w:hint="eastAsia" w:ascii="方正仿宋_GBK" w:hAnsi="方正仿宋_GBK" w:eastAsia="方正仿宋_GBK" w:cs="方正仿宋_GBK"/>
          <w:bCs/>
          <w:kern w:val="0"/>
          <w:sz w:val="32"/>
          <w:szCs w:val="32"/>
        </w:rPr>
        <w:t>有害生物监测与防控技术研究和技术培训，提供监测预警及科技支撑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pacing w:line="580" w:lineRule="exact"/>
        <w:ind w:left="0" w:leftChars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相关盟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行政公署、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人民政府，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旗县（市、区）人民政府：第一时间组织先期处置，做好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本行政区域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内突发事件现场处置、后勤保障等方面的工作，参与调查、评估。</w:t>
      </w:r>
    </w:p>
    <w:p>
      <w:pPr>
        <w:widowControl/>
        <w:spacing w:line="600" w:lineRule="exact"/>
        <w:jc w:val="left"/>
        <w:rPr>
          <w:rFonts w:ascii="Times New Roman" w:hAnsi="Times New Roman" w:eastAsia="黑体"/>
          <w:szCs w:val="32"/>
        </w:rPr>
      </w:pPr>
    </w:p>
    <w:p>
      <w:pPr>
        <w:widowControl/>
        <w:spacing w:after="439" w:afterLines="10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spacing w:after="439" w:afterLines="100"/>
        <w:jc w:val="left"/>
        <w:rPr>
          <w:rFonts w:hint="eastAsia" w:ascii="黑体" w:hAnsi="黑体" w:eastAsia="黑体" w:cs="黑体"/>
          <w:szCs w:val="32"/>
        </w:rPr>
      </w:pPr>
    </w:p>
    <w:p>
      <w:pPr>
        <w:widowControl/>
        <w:spacing w:after="439" w:afterLines="100"/>
        <w:jc w:val="left"/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579D3"/>
    <w:rsid w:val="34E579D3"/>
    <w:rsid w:val="6942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" w:hAnsi="仿宋" w:eastAsia="仿宋" w:cs="Times New Roman"/>
      <w:sz w:val="32"/>
      <w:szCs w:val="22"/>
      <w:lang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 w:eastAsia="仿宋" w:cs="Times New Roman"/>
      <w:kern w:val="0"/>
      <w:sz w:val="24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2023-10-16T03:55:00Z</dcterms:created>
  <dc:creator>zwfw</dc:creator>
  <cp:lastModifiedBy>zwfw</cp:lastModifiedBy>
  <dcterms:modified xsi:type="dcterms:W3CDTF">2023-10-16T03:55:44Z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