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b w:val="0"/>
          <w:bCs/>
          <w:sz w:val="32"/>
          <w:szCs w:val="32"/>
          <w:lang w:eastAsia="zh-CN"/>
        </w:rPr>
      </w:pPr>
    </w:p>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内蒙古自治区人民政府关于免征</w:t>
      </w:r>
    </w:p>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赤峰市受新冠肺炎疫情影响</w:t>
      </w:r>
    </w:p>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企业房产税的批复</w:t>
      </w:r>
    </w:p>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p>
    <w:p>
      <w:pPr>
        <w:jc w:val="center"/>
        <w:rPr>
          <w:rFonts w:hint="eastAsia" w:ascii="仿宋" w:hAnsi="仿宋" w:eastAsia="仿宋" w:cs="仿宋"/>
          <w:sz w:val="32"/>
          <w:szCs w:val="32"/>
          <w:lang w:eastAsia="zh-CN"/>
        </w:rPr>
      </w:pPr>
      <w:bookmarkStart w:id="0" w:name="缓急"/>
      <w:bookmarkEnd w:id="0"/>
      <w:r>
        <w:rPr>
          <w:rFonts w:hint="eastAsia" w:ascii="仿宋" w:hAnsi="仿宋" w:eastAsia="仿宋" w:cs="仿宋"/>
          <w:sz w:val="32"/>
          <w:szCs w:val="32"/>
          <w:lang w:eastAsia="zh-CN"/>
        </w:rPr>
        <w:t>内政字〔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b w:val="0"/>
          <w:bCs/>
          <w:sz w:val="32"/>
          <w:szCs w:val="32"/>
          <w:lang w:val="en-US" w:eastAsia="zh-CN"/>
        </w:rPr>
        <w:t>129号</w:t>
      </w:r>
    </w:p>
    <w:p>
      <w:pPr>
        <w:keepNext w:val="0"/>
        <w:keepLines w:val="0"/>
        <w:pageBreakBefore w:val="0"/>
        <w:widowControl w:val="0"/>
        <w:kinsoku/>
        <w:wordWrap/>
        <w:overflowPunct/>
        <w:topLinePunct/>
        <w:autoSpaceDE/>
        <w:autoSpaceDN/>
        <w:bidi w:val="0"/>
        <w:adjustRightInd/>
        <w:snapToGrid/>
        <w:spacing w:line="6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6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赤峰</w:t>
      </w:r>
      <w:r>
        <w:rPr>
          <w:rFonts w:hint="eastAsia" w:ascii="仿宋" w:hAnsi="仿宋" w:eastAsia="仿宋" w:cs="仿宋"/>
          <w:sz w:val="32"/>
          <w:szCs w:val="32"/>
        </w:rPr>
        <w:t>市人民政府：</w:t>
      </w:r>
    </w:p>
    <w:p>
      <w:pPr>
        <w:keepNext w:val="0"/>
        <w:keepLines w:val="0"/>
        <w:pageBreakBefore w:val="0"/>
        <w:widowControl w:val="0"/>
        <w:kinsoku/>
        <w:wordWrap/>
        <w:overflowPunct/>
        <w:topLinePunct/>
        <w:autoSpaceDE/>
        <w:autoSpaceDN/>
        <w:bidi w:val="0"/>
        <w:adjustRightInd/>
        <w:snapToGrid/>
        <w:spacing w:line="660" w:lineRule="exact"/>
        <w:textAlignment w:val="auto"/>
        <w:rPr>
          <w:rFonts w:hint="eastAsia" w:ascii="仿宋" w:hAnsi="仿宋" w:eastAsia="仿宋" w:cs="仿宋"/>
          <w:spacing w:val="-6"/>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你市</w:t>
      </w:r>
      <w:r>
        <w:rPr>
          <w:rFonts w:hint="eastAsia" w:ascii="仿宋" w:hAnsi="仿宋" w:eastAsia="仿宋" w:cs="仿宋"/>
          <w:spacing w:val="-6"/>
          <w:sz w:val="32"/>
          <w:szCs w:val="32"/>
        </w:rPr>
        <w:t>《关于</w:t>
      </w:r>
      <w:r>
        <w:rPr>
          <w:rFonts w:hint="eastAsia" w:ascii="仿宋" w:hAnsi="仿宋" w:eastAsia="仿宋" w:cs="仿宋"/>
          <w:spacing w:val="-6"/>
          <w:sz w:val="32"/>
          <w:szCs w:val="32"/>
          <w:lang w:val="en-US" w:eastAsia="zh-CN"/>
        </w:rPr>
        <w:t>2022年上半年疫情期间</w:t>
      </w:r>
      <w:r>
        <w:rPr>
          <w:rFonts w:hint="eastAsia" w:ascii="仿宋" w:hAnsi="仿宋" w:eastAsia="仿宋" w:cs="仿宋"/>
          <w:spacing w:val="-6"/>
          <w:sz w:val="32"/>
          <w:szCs w:val="32"/>
        </w:rPr>
        <w:t>中小企业房产税</w:t>
      </w:r>
      <w:r>
        <w:rPr>
          <w:rFonts w:hint="eastAsia" w:ascii="仿宋" w:hAnsi="仿宋" w:eastAsia="仿宋" w:cs="仿宋"/>
          <w:spacing w:val="-6"/>
          <w:sz w:val="32"/>
          <w:szCs w:val="32"/>
          <w:lang w:val="en-US" w:eastAsia="zh-CN"/>
        </w:rPr>
        <w:t>减免事宜</w:t>
      </w:r>
      <w:r>
        <w:rPr>
          <w:rFonts w:hint="eastAsia" w:ascii="仿宋" w:hAnsi="仿宋" w:eastAsia="仿宋" w:cs="仿宋"/>
          <w:spacing w:val="-6"/>
          <w:sz w:val="32"/>
          <w:szCs w:val="32"/>
        </w:rPr>
        <w:t>的请示》（</w:t>
      </w:r>
      <w:r>
        <w:rPr>
          <w:rFonts w:hint="eastAsia" w:ascii="仿宋" w:hAnsi="仿宋" w:eastAsia="仿宋" w:cs="仿宋"/>
          <w:spacing w:val="-6"/>
          <w:sz w:val="32"/>
          <w:szCs w:val="32"/>
          <w:lang w:val="en-US" w:eastAsia="zh-CN"/>
        </w:rPr>
        <w:t>赤</w:t>
      </w:r>
      <w:r>
        <w:rPr>
          <w:rFonts w:hint="eastAsia" w:ascii="仿宋" w:hAnsi="仿宋" w:eastAsia="仿宋" w:cs="仿宋"/>
          <w:spacing w:val="-6"/>
          <w:sz w:val="32"/>
          <w:szCs w:val="32"/>
        </w:rPr>
        <w:t>政发〔2022〕</w:t>
      </w:r>
      <w:r>
        <w:rPr>
          <w:rFonts w:hint="eastAsia" w:ascii="仿宋" w:hAnsi="仿宋" w:eastAsia="仿宋" w:cs="仿宋"/>
          <w:spacing w:val="-6"/>
          <w:sz w:val="32"/>
          <w:szCs w:val="32"/>
          <w:lang w:val="en-US" w:eastAsia="zh-CN"/>
        </w:rPr>
        <w:t>204</w:t>
      </w:r>
      <w:r>
        <w:rPr>
          <w:rFonts w:hint="eastAsia" w:ascii="仿宋" w:hAnsi="仿宋" w:eastAsia="仿宋" w:cs="仿宋"/>
          <w:spacing w:val="-6"/>
          <w:sz w:val="32"/>
          <w:szCs w:val="32"/>
        </w:rPr>
        <w:t>号）收悉。现批复如下：</w:t>
      </w:r>
    </w:p>
    <w:p>
      <w:pPr>
        <w:keepNext w:val="0"/>
        <w:keepLines w:val="0"/>
        <w:pageBreakBefore w:val="0"/>
        <w:widowControl w:val="0"/>
        <w:kinsoku/>
        <w:wordWrap/>
        <w:overflowPunct/>
        <w:topLinePunct/>
        <w:autoSpaceDE/>
        <w:autoSpaceDN/>
        <w:bidi w:val="0"/>
        <w:adjustRightInd/>
        <w:snapToGrid/>
        <w:spacing w:line="6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一、同意免征</w:t>
      </w:r>
      <w:r>
        <w:rPr>
          <w:rFonts w:hint="eastAsia" w:ascii="仿宋" w:hAnsi="仿宋" w:eastAsia="仿宋" w:cs="仿宋"/>
          <w:spacing w:val="-6"/>
          <w:sz w:val="32"/>
          <w:szCs w:val="32"/>
          <w:lang w:val="en-US" w:eastAsia="zh-CN"/>
        </w:rPr>
        <w:t>赤峰松山万达广场商务服务有限公司和阿鲁科尔沁旗天山百货有限责任公司</w:t>
      </w:r>
      <w:r>
        <w:rPr>
          <w:rFonts w:hint="eastAsia" w:ascii="仿宋" w:hAnsi="仿宋" w:eastAsia="仿宋" w:cs="仿宋"/>
          <w:spacing w:val="-6"/>
          <w:sz w:val="32"/>
          <w:szCs w:val="32"/>
        </w:rPr>
        <w:t>2022年1月至</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月房产税合计</w:t>
      </w:r>
      <w:r>
        <w:rPr>
          <w:rFonts w:hint="eastAsia" w:ascii="仿宋" w:hAnsi="仿宋" w:eastAsia="仿宋" w:cs="仿宋"/>
          <w:spacing w:val="-6"/>
          <w:sz w:val="32"/>
          <w:szCs w:val="32"/>
          <w:lang w:val="en-US" w:eastAsia="zh-CN"/>
        </w:rPr>
        <w:t>1370410.78</w:t>
      </w:r>
      <w:r>
        <w:rPr>
          <w:rFonts w:hint="eastAsia" w:ascii="仿宋" w:hAnsi="仿宋" w:eastAsia="仿宋" w:cs="仿宋"/>
          <w:spacing w:val="-6"/>
          <w:sz w:val="32"/>
          <w:szCs w:val="32"/>
        </w:rPr>
        <w:t>元。具体免税企业名称、免税金额及免税期限见附件。</w:t>
      </w:r>
    </w:p>
    <w:p>
      <w:pPr>
        <w:keepNext w:val="0"/>
        <w:keepLines w:val="0"/>
        <w:pageBreakBefore w:val="0"/>
        <w:widowControl w:val="0"/>
        <w:kinsoku/>
        <w:wordWrap/>
        <w:overflowPunct/>
        <w:topLinePunct/>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二、在具体执行中，如免征房产税金额与附件所列免征金额有差异，以主管税务机关核实金额为准。</w:t>
      </w:r>
    </w:p>
    <w:p>
      <w:pPr>
        <w:keepNext w:val="0"/>
        <w:keepLines w:val="0"/>
        <w:pageBreakBefore w:val="0"/>
        <w:widowControl w:val="0"/>
        <w:kinsoku/>
        <w:wordWrap/>
        <w:overflowPunct/>
        <w:topLinePunct/>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三、按照本批复免征的房产税，在批复下达前已经征收入库的，可抵减以后纳税期应纳房产税或办理退库。</w:t>
      </w:r>
    </w:p>
    <w:p>
      <w:pPr>
        <w:keepNext w:val="0"/>
        <w:keepLines w:val="0"/>
        <w:pageBreakBefore w:val="0"/>
        <w:widowControl w:val="0"/>
        <w:kinsoku/>
        <w:wordWrap/>
        <w:overflowPunct/>
        <w:topLinePunct/>
        <w:autoSpaceDE/>
        <w:autoSpaceDN/>
        <w:bidi w:val="0"/>
        <w:adjustRightInd/>
        <w:snapToGrid/>
        <w:spacing w:line="580" w:lineRule="exact"/>
        <w:ind w:left="1522" w:leftChars="300" w:hanging="892" w:hangingChars="279"/>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附件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赤峰</w:t>
      </w:r>
      <w:r>
        <w:rPr>
          <w:rFonts w:hint="eastAsia" w:ascii="仿宋" w:hAnsi="仿宋" w:eastAsia="仿宋" w:cs="仿宋"/>
          <w:spacing w:val="0"/>
          <w:sz w:val="32"/>
          <w:szCs w:val="32"/>
        </w:rPr>
        <w:t>市受新冠肺炎疫情影响企业房产税免税金额和免税期限汇总表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tabs>
          <w:tab w:val="left" w:pos="7560"/>
        </w:tabs>
        <w:kinsoku/>
        <w:wordWrap/>
        <w:overflowPunct/>
        <w:topLinePunct/>
        <w:autoSpaceDE/>
        <w:autoSpaceDN/>
        <w:bidi w:val="0"/>
        <w:adjustRightInd/>
        <w:snapToGrid/>
        <w:spacing w:line="580" w:lineRule="exact"/>
        <w:ind w:left="0" w:leftChars="0" w:firstLine="4918" w:firstLineChars="1537"/>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eastAsia="黑体"/>
          <w:sz w:val="32"/>
          <w:szCs w:val="32"/>
          <w:lang w:val="en-US" w:eastAsia="zh-CN"/>
        </w:rPr>
      </w:pPr>
      <w:r>
        <w:rPr>
          <w:rFonts w:hint="eastAsia" w:ascii="仿宋" w:hAnsi="仿宋" w:eastAsia="仿宋" w:cs="仿宋"/>
          <w:sz w:val="32"/>
          <w:szCs w:val="32"/>
          <w:lang w:val="en-US" w:eastAsia="zh-CN"/>
        </w:rPr>
        <w:t>（此件公开发布）</w:t>
      </w:r>
    </w:p>
    <w:p>
      <w:pPr>
        <w:spacing w:line="520" w:lineRule="exact"/>
        <w:rPr>
          <w:rFonts w:hint="eastAsia" w:ascii="黑体" w:eastAsia="黑体"/>
          <w:sz w:val="32"/>
          <w:szCs w:val="32"/>
          <w:lang w:val="en-US" w:eastAsia="zh-CN"/>
        </w:rPr>
      </w:pPr>
    </w:p>
    <w:p>
      <w:pPr>
        <w:spacing w:line="520" w:lineRule="exact"/>
        <w:rPr>
          <w:rFonts w:hint="eastAsia" w:ascii="黑体" w:eastAsia="黑体"/>
          <w:sz w:val="32"/>
          <w:szCs w:val="32"/>
          <w:lang w:val="en-US" w:eastAsia="zh-CN"/>
        </w:rPr>
      </w:pPr>
      <w:r>
        <w:rPr>
          <w:rFonts w:hint="eastAsia" w:ascii="黑体" w:eastAsia="黑体"/>
          <w:sz w:val="32"/>
          <w:szCs w:val="32"/>
          <w:lang w:val="en-US" w:eastAsia="zh-CN"/>
        </w:rPr>
        <w:t>附件</w:t>
      </w:r>
    </w:p>
    <w:p>
      <w:pPr>
        <w:spacing w:line="520" w:lineRule="exact"/>
        <w:rPr>
          <w:rFonts w:hint="eastAsia" w:ascii="黑体" w:eastAsia="黑体"/>
          <w:sz w:val="32"/>
          <w:szCs w:val="32"/>
          <w:lang w:val="en-US" w:eastAsia="zh-CN"/>
        </w:rPr>
      </w:pPr>
    </w:p>
    <w:p>
      <w:pPr>
        <w:spacing w:line="5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赤峰市受新冠肺炎疫情影响企业</w:t>
      </w:r>
    </w:p>
    <w:p>
      <w:pPr>
        <w:spacing w:line="5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11"/>
          <w:sz w:val="44"/>
          <w:szCs w:val="44"/>
          <w:lang w:val="en-US" w:eastAsia="zh-CN"/>
        </w:rPr>
        <w:t>房产税免税金额和免税期限汇总</w:t>
      </w:r>
      <w:r>
        <w:rPr>
          <w:rFonts w:hint="eastAsia" w:ascii="方正小标宋_GBK" w:hAnsi="方正小标宋_GBK" w:eastAsia="方正小标宋_GBK" w:cs="方正小标宋_GBK"/>
          <w:sz w:val="44"/>
          <w:szCs w:val="44"/>
          <w:lang w:val="en-US" w:eastAsia="zh-CN"/>
        </w:rPr>
        <w:t>表</w:t>
      </w:r>
    </w:p>
    <w:p>
      <w:pPr>
        <w:spacing w:line="520" w:lineRule="exact"/>
        <w:jc w:val="center"/>
        <w:rPr>
          <w:rFonts w:hint="eastAsia" w:ascii="黑体" w:eastAsia="黑体"/>
          <w:sz w:val="32"/>
          <w:szCs w:val="32"/>
          <w:lang w:val="en-US" w:eastAsia="zh-CN"/>
        </w:rPr>
      </w:pPr>
    </w:p>
    <w:p>
      <w:pPr>
        <w:spacing w:line="240" w:lineRule="auto"/>
        <w:rPr>
          <w:rFonts w:hint="eastAsia" w:ascii="黑体" w:eastAsia="黑体"/>
          <w:sz w:val="32"/>
          <w:szCs w:val="32"/>
          <w:lang w:val="en-US" w:eastAsia="zh-CN"/>
        </w:rPr>
      </w:pPr>
      <w:r>
        <w:rPr>
          <w:rFonts w:hint="eastAsia" w:ascii="黑体" w:eastAsia="黑体"/>
          <w:sz w:val="32"/>
          <w:szCs w:val="32"/>
          <w:lang w:val="en-US" w:eastAsia="zh-CN"/>
        </w:rPr>
        <w:drawing>
          <wp:inline distT="0" distB="0" distL="114300" distR="114300">
            <wp:extent cx="5647055" cy="3345815"/>
            <wp:effectExtent l="0" t="0" r="10795" b="6985"/>
            <wp:docPr id="1" name="图片 3" descr="129-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29-1副本"/>
                    <pic:cNvPicPr>
                      <a:picLocks noChangeAspect="1"/>
                    </pic:cNvPicPr>
                  </pic:nvPicPr>
                  <pic:blipFill>
                    <a:blip r:embed="rId6"/>
                    <a:stretch>
                      <a:fillRect/>
                    </a:stretch>
                  </pic:blipFill>
                  <pic:spPr>
                    <a:xfrm>
                      <a:off x="0" y="0"/>
                      <a:ext cx="5647055" cy="3345815"/>
                    </a:xfrm>
                    <a:prstGeom prst="rect">
                      <a:avLst/>
                    </a:prstGeom>
                    <a:noFill/>
                    <a:ln>
                      <a:noFill/>
                    </a:ln>
                  </pic:spPr>
                </pic:pic>
              </a:graphicData>
            </a:graphic>
          </wp:inline>
        </w:drawing>
      </w:r>
    </w:p>
    <w:p>
      <w:pPr>
        <w:spacing w:line="520" w:lineRule="exact"/>
        <w:rPr>
          <w:rFonts w:hint="eastAsia" w:ascii="黑体" w:eastAsia="黑体"/>
          <w:sz w:val="32"/>
          <w:szCs w:val="32"/>
          <w:lang w:val="en-US" w:eastAsia="zh-CN"/>
        </w:rPr>
      </w:pPr>
    </w:p>
    <w:p>
      <w:bookmarkStart w:id="2" w:name="_GoBack"/>
      <w:bookmarkEnd w:id="2"/>
    </w:p>
    <w:p/>
    <w:p>
      <w:pPr>
        <w:spacing w:line="400" w:lineRule="exact"/>
        <w:ind w:firstLine="280" w:firstLineChars="100"/>
        <w:rPr>
          <w:rFonts w:hint="eastAsia"/>
        </w:rPr>
      </w:pPr>
      <w:r>
        <w:rPr>
          <w:rFonts w:hint="eastAsia" w:ascii="仿宋_GB2312" w:eastAsia="仿宋_GB2312"/>
          <w:sz w:val="28"/>
          <w:szCs w:val="28"/>
        </w:rPr>
        <w:t>抄送：自治区</w:t>
      </w:r>
      <w:r>
        <w:rPr>
          <w:rFonts w:hint="eastAsia" w:ascii="仿宋_GB2312" w:eastAsia="仿宋_GB2312"/>
          <w:sz w:val="28"/>
          <w:szCs w:val="28"/>
          <w:lang w:eastAsia="zh-CN"/>
        </w:rPr>
        <w:t>财政厅、内蒙古税务局</w:t>
      </w:r>
      <w:r>
        <w:rPr>
          <w:rFonts w:hint="eastAsia" w:ascii="仿宋_GB2312" w:eastAsia="仿宋_GB2312"/>
          <w:sz w:val="28"/>
          <w:szCs w:val="28"/>
        </w:rPr>
        <w:t>。</w:t>
      </w:r>
      <w:bookmarkStart w:id="1" w:name="印章"/>
      <w:bookmarkEnd w:id="1"/>
    </w:p>
    <w:sectPr>
      <w:footerReference r:id="rId3" w:type="default"/>
      <w:footerReference r:id="rId4" w:type="even"/>
      <w:pgSz w:w="11906" w:h="16838"/>
      <w:pgMar w:top="2041" w:right="1474" w:bottom="1871" w:left="1531"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363"/>
    <w:rsid w:val="000D2658"/>
    <w:rsid w:val="00103CC8"/>
    <w:rsid w:val="00133660"/>
    <w:rsid w:val="00191D9E"/>
    <w:rsid w:val="0019222C"/>
    <w:rsid w:val="001A25EA"/>
    <w:rsid w:val="001B7709"/>
    <w:rsid w:val="001F7117"/>
    <w:rsid w:val="00217BA6"/>
    <w:rsid w:val="002365A0"/>
    <w:rsid w:val="00251B94"/>
    <w:rsid w:val="00277E16"/>
    <w:rsid w:val="00302982"/>
    <w:rsid w:val="0031148E"/>
    <w:rsid w:val="00323128"/>
    <w:rsid w:val="00337358"/>
    <w:rsid w:val="00351DB4"/>
    <w:rsid w:val="003760C8"/>
    <w:rsid w:val="00394046"/>
    <w:rsid w:val="003C0AE3"/>
    <w:rsid w:val="003C2F80"/>
    <w:rsid w:val="00444154"/>
    <w:rsid w:val="00466E1A"/>
    <w:rsid w:val="00483E09"/>
    <w:rsid w:val="00490410"/>
    <w:rsid w:val="004A5D64"/>
    <w:rsid w:val="004B2561"/>
    <w:rsid w:val="00570FF5"/>
    <w:rsid w:val="005C2CDF"/>
    <w:rsid w:val="006048D6"/>
    <w:rsid w:val="00607575"/>
    <w:rsid w:val="006114C2"/>
    <w:rsid w:val="00694D7B"/>
    <w:rsid w:val="006A7A02"/>
    <w:rsid w:val="006D5EA5"/>
    <w:rsid w:val="006F6D63"/>
    <w:rsid w:val="007051F9"/>
    <w:rsid w:val="00754500"/>
    <w:rsid w:val="00755D27"/>
    <w:rsid w:val="007B33F4"/>
    <w:rsid w:val="007C5992"/>
    <w:rsid w:val="00803912"/>
    <w:rsid w:val="0081305A"/>
    <w:rsid w:val="00825CE1"/>
    <w:rsid w:val="008408A0"/>
    <w:rsid w:val="00861E84"/>
    <w:rsid w:val="00887CC6"/>
    <w:rsid w:val="008A2202"/>
    <w:rsid w:val="008A65ED"/>
    <w:rsid w:val="008E482C"/>
    <w:rsid w:val="009506CE"/>
    <w:rsid w:val="00962152"/>
    <w:rsid w:val="009640A3"/>
    <w:rsid w:val="009D3856"/>
    <w:rsid w:val="00A065FE"/>
    <w:rsid w:val="00A434EC"/>
    <w:rsid w:val="00A86A3C"/>
    <w:rsid w:val="00AC3BB4"/>
    <w:rsid w:val="00AD4C20"/>
    <w:rsid w:val="00B23D3A"/>
    <w:rsid w:val="00B32830"/>
    <w:rsid w:val="00B33ED2"/>
    <w:rsid w:val="00B4166A"/>
    <w:rsid w:val="00B52F22"/>
    <w:rsid w:val="00B558E6"/>
    <w:rsid w:val="00B8542C"/>
    <w:rsid w:val="00BA7151"/>
    <w:rsid w:val="00BB17B2"/>
    <w:rsid w:val="00BB6B54"/>
    <w:rsid w:val="00BD6E3B"/>
    <w:rsid w:val="00BE2724"/>
    <w:rsid w:val="00C809B3"/>
    <w:rsid w:val="00C9270F"/>
    <w:rsid w:val="00CB0B2B"/>
    <w:rsid w:val="00CC1415"/>
    <w:rsid w:val="00CE2EAF"/>
    <w:rsid w:val="00D3579F"/>
    <w:rsid w:val="00D602A0"/>
    <w:rsid w:val="00D75050"/>
    <w:rsid w:val="00DD4FCD"/>
    <w:rsid w:val="00DD700A"/>
    <w:rsid w:val="00DE4DB8"/>
    <w:rsid w:val="00DF0A4F"/>
    <w:rsid w:val="00DF62D9"/>
    <w:rsid w:val="00E17612"/>
    <w:rsid w:val="00E20816"/>
    <w:rsid w:val="00E4083A"/>
    <w:rsid w:val="00E41E42"/>
    <w:rsid w:val="00E6695E"/>
    <w:rsid w:val="00E70DB7"/>
    <w:rsid w:val="00E751C2"/>
    <w:rsid w:val="00E814A8"/>
    <w:rsid w:val="00E960CE"/>
    <w:rsid w:val="00EB1760"/>
    <w:rsid w:val="00F1676C"/>
    <w:rsid w:val="00F6173C"/>
    <w:rsid w:val="00F654E4"/>
    <w:rsid w:val="00F71128"/>
    <w:rsid w:val="00F765CE"/>
    <w:rsid w:val="00F86DFB"/>
    <w:rsid w:val="00F92D55"/>
    <w:rsid w:val="00F94438"/>
    <w:rsid w:val="00FC5EC3"/>
    <w:rsid w:val="0E7B3ECF"/>
    <w:rsid w:val="10A6293D"/>
    <w:rsid w:val="12C04511"/>
    <w:rsid w:val="12D47913"/>
    <w:rsid w:val="151242E9"/>
    <w:rsid w:val="16896774"/>
    <w:rsid w:val="18293323"/>
    <w:rsid w:val="1BF4474B"/>
    <w:rsid w:val="1E747BEC"/>
    <w:rsid w:val="1E964615"/>
    <w:rsid w:val="1FD31B1F"/>
    <w:rsid w:val="1FF68054"/>
    <w:rsid w:val="20F9D5FA"/>
    <w:rsid w:val="217D23BA"/>
    <w:rsid w:val="226B3D4B"/>
    <w:rsid w:val="27355263"/>
    <w:rsid w:val="275570A8"/>
    <w:rsid w:val="27E04077"/>
    <w:rsid w:val="29255FCE"/>
    <w:rsid w:val="2D1F0785"/>
    <w:rsid w:val="2D2959EA"/>
    <w:rsid w:val="33E52568"/>
    <w:rsid w:val="357F0D54"/>
    <w:rsid w:val="35DE90C4"/>
    <w:rsid w:val="35EE17C5"/>
    <w:rsid w:val="36193767"/>
    <w:rsid w:val="37511444"/>
    <w:rsid w:val="38262F51"/>
    <w:rsid w:val="3B05DA29"/>
    <w:rsid w:val="3DBBD048"/>
    <w:rsid w:val="3E8003A9"/>
    <w:rsid w:val="43CE25A7"/>
    <w:rsid w:val="44FE2C1E"/>
    <w:rsid w:val="49531C23"/>
    <w:rsid w:val="497A5D4D"/>
    <w:rsid w:val="4A6EC9AC"/>
    <w:rsid w:val="4B35C901"/>
    <w:rsid w:val="4B734C74"/>
    <w:rsid w:val="4D930C48"/>
    <w:rsid w:val="4FD33F1F"/>
    <w:rsid w:val="4FFF3080"/>
    <w:rsid w:val="50600892"/>
    <w:rsid w:val="5248509C"/>
    <w:rsid w:val="557065F0"/>
    <w:rsid w:val="57EB8D1B"/>
    <w:rsid w:val="57EBE850"/>
    <w:rsid w:val="58EE3EAB"/>
    <w:rsid w:val="5ACF252C"/>
    <w:rsid w:val="5BC16643"/>
    <w:rsid w:val="5DF36D8D"/>
    <w:rsid w:val="5F6B1A30"/>
    <w:rsid w:val="5FC47C57"/>
    <w:rsid w:val="5FC6B2E9"/>
    <w:rsid w:val="604307FB"/>
    <w:rsid w:val="612A5090"/>
    <w:rsid w:val="634A72D3"/>
    <w:rsid w:val="65D178CF"/>
    <w:rsid w:val="664B9EC4"/>
    <w:rsid w:val="67C742AE"/>
    <w:rsid w:val="68C13D1E"/>
    <w:rsid w:val="691D7FB0"/>
    <w:rsid w:val="69AA7AA3"/>
    <w:rsid w:val="6A0E1A7E"/>
    <w:rsid w:val="6A960F0F"/>
    <w:rsid w:val="6ADE316A"/>
    <w:rsid w:val="6AFAF843"/>
    <w:rsid w:val="6D1DC281"/>
    <w:rsid w:val="6F1DDE28"/>
    <w:rsid w:val="6FDA3B4D"/>
    <w:rsid w:val="6FF7029F"/>
    <w:rsid w:val="70987272"/>
    <w:rsid w:val="71053B9D"/>
    <w:rsid w:val="73DF42C4"/>
    <w:rsid w:val="747F7D34"/>
    <w:rsid w:val="750F5E88"/>
    <w:rsid w:val="75EFEF3F"/>
    <w:rsid w:val="76167F2F"/>
    <w:rsid w:val="76240541"/>
    <w:rsid w:val="7718218D"/>
    <w:rsid w:val="77A43379"/>
    <w:rsid w:val="77D43237"/>
    <w:rsid w:val="77DE16AB"/>
    <w:rsid w:val="77F74E34"/>
    <w:rsid w:val="77FFA693"/>
    <w:rsid w:val="7AA647A1"/>
    <w:rsid w:val="7ACB66CC"/>
    <w:rsid w:val="7B7FD117"/>
    <w:rsid w:val="7BE7549F"/>
    <w:rsid w:val="7C7734A3"/>
    <w:rsid w:val="7D1850A2"/>
    <w:rsid w:val="7D6479EF"/>
    <w:rsid w:val="7ECF198F"/>
    <w:rsid w:val="83F5BCC4"/>
    <w:rsid w:val="9EF2D900"/>
    <w:rsid w:val="AF686322"/>
    <w:rsid w:val="AF99FC6A"/>
    <w:rsid w:val="AFEDFE03"/>
    <w:rsid w:val="BED90A71"/>
    <w:rsid w:val="CEFF219D"/>
    <w:rsid w:val="CFB9F376"/>
    <w:rsid w:val="CFFF6A05"/>
    <w:rsid w:val="DEDD3DE6"/>
    <w:rsid w:val="DFA1834F"/>
    <w:rsid w:val="DFFF4A29"/>
    <w:rsid w:val="DFFF8872"/>
    <w:rsid w:val="EDFA9A92"/>
    <w:rsid w:val="EFF7F52F"/>
    <w:rsid w:val="F26F1109"/>
    <w:rsid w:val="F7FA3CCC"/>
    <w:rsid w:val="F9DF0D66"/>
    <w:rsid w:val="FAAF5571"/>
    <w:rsid w:val="FBDE2960"/>
    <w:rsid w:val="FE3B9A38"/>
    <w:rsid w:val="FE7F5328"/>
    <w:rsid w:val="FED729CD"/>
    <w:rsid w:val="FEDE59B8"/>
    <w:rsid w:val="FEF74781"/>
    <w:rsid w:val="FFB3C470"/>
    <w:rsid w:val="FFEEAC2F"/>
    <w:rsid w:val="FFFDF7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rPr>
  </w:style>
  <w:style w:type="paragraph" w:styleId="3">
    <w:name w:val="annotation text"/>
    <w:basedOn w:val="1"/>
    <w:uiPriority w:val="0"/>
    <w:pPr>
      <w:jc w:val="left"/>
    </w:pPr>
    <w:rPr>
      <w:rFonts w:ascii="Calibri" w:hAnsi="Calibri" w:eastAsia="宋体" w:cs="Times New Roman"/>
      <w:szCs w:val="24"/>
    </w:rPr>
  </w:style>
  <w:style w:type="paragraph" w:styleId="4">
    <w:name w:val="Body Text"/>
    <w:basedOn w:val="1"/>
    <w:uiPriority w:val="0"/>
    <w:rPr>
      <w:rFonts w:ascii="Times New Roman" w:hAnsi="Times New Roman" w:eastAsia="宋体" w:cs="Times New Roman"/>
      <w:szCs w:val="24"/>
    </w:rPr>
  </w:style>
  <w:style w:type="paragraph" w:styleId="5">
    <w:name w:val="footer"/>
    <w:basedOn w:val="1"/>
    <w:link w:val="18"/>
    <w:uiPriority w:val="0"/>
    <w:pPr>
      <w:tabs>
        <w:tab w:val="center" w:pos="4153"/>
        <w:tab w:val="right" w:pos="8306"/>
      </w:tabs>
      <w:snapToGrid w:val="0"/>
      <w:jc w:val="left"/>
    </w:pPr>
    <w:rPr>
      <w:sz w:val="18"/>
      <w:szCs w:val="18"/>
    </w:rPr>
  </w:style>
  <w:style w:type="paragraph" w:styleId="6">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7">
    <w:name w:val="List"/>
    <w:basedOn w:val="4"/>
    <w:uiPriority w:val="0"/>
    <w:pPr>
      <w:suppressAutoHyphens/>
      <w:bidi w:val="0"/>
      <w:spacing w:before="0" w:after="140" w:line="276" w:lineRule="auto"/>
    </w:pPr>
    <w:rPr>
      <w:rFonts w:ascii="Calibri" w:hAnsi="Calibri"/>
      <w:color w:val="auto"/>
    </w:rPr>
  </w:style>
  <w:style w:type="paragraph" w:styleId="8">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rFonts w:ascii="Times New Roman" w:hAnsi="Times New Roman" w:eastAsia="宋体" w:cs="Times New Roman"/>
      <w:b/>
      <w:bCs/>
    </w:rPr>
  </w:style>
  <w:style w:type="character" w:styleId="13">
    <w:name w:val="page number"/>
    <w:basedOn w:val="11"/>
    <w:uiPriority w:val="0"/>
  </w:style>
  <w:style w:type="character" w:styleId="14">
    <w:name w:val="Hyperlink"/>
    <w:uiPriority w:val="0"/>
    <w:rPr>
      <w:rFonts w:ascii="Times New Roman" w:hAnsi="Times New Roman" w:eastAsia="宋体" w:cs="Times New Roman"/>
      <w:color w:val="0000FF"/>
      <w:u w:val="single"/>
    </w:rPr>
  </w:style>
  <w:style w:type="paragraph" w:customStyle="1" w:styleId="15">
    <w:name w:val="UserStyle_0"/>
    <w:basedOn w:val="1"/>
    <w:link w:val="21"/>
    <w:qFormat/>
    <w:uiPriority w:val="0"/>
    <w:pPr>
      <w:widowControl/>
      <w:suppressAutoHyphens/>
      <w:bidi w:val="0"/>
      <w:ind w:left="1360" w:hanging="720"/>
    </w:pPr>
    <w:rPr>
      <w:rFonts w:ascii="宋体" w:hAnsi="Calibri" w:eastAsia="宋体" w:cs="Times New Roman"/>
      <w:color w:val="auto"/>
      <w:sz w:val="24"/>
      <w:szCs w:val="24"/>
    </w:rPr>
  </w:style>
  <w:style w:type="paragraph" w:customStyle="1" w:styleId="16">
    <w:name w:val="Heading"/>
    <w:basedOn w:val="1"/>
    <w:next w:val="4"/>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17">
    <w:name w:val="Index"/>
    <w:basedOn w:val="1"/>
    <w:uiPriority w:val="0"/>
    <w:pPr>
      <w:widowControl w:val="0"/>
      <w:suppressLineNumbers/>
      <w:suppressAutoHyphens/>
      <w:bidi w:val="0"/>
    </w:pPr>
    <w:rPr>
      <w:rFonts w:ascii="Calibri" w:hAnsi="Calibri" w:eastAsia="宋体" w:cs="Times New Roman"/>
      <w:color w:val="auto"/>
      <w:szCs w:val="24"/>
    </w:rPr>
  </w:style>
  <w:style w:type="character" w:customStyle="1" w:styleId="18">
    <w:name w:val="页脚 Char"/>
    <w:link w:val="5"/>
    <w:uiPriority w:val="99"/>
    <w:rPr>
      <w:rFonts w:ascii="Calibri" w:hAnsi="Calibri" w:eastAsia="宋体" w:cs="Times New Roman"/>
      <w:kern w:val="2"/>
      <w:sz w:val="18"/>
      <w:szCs w:val="18"/>
    </w:rPr>
  </w:style>
  <w:style w:type="character" w:customStyle="1" w:styleId="19">
    <w:name w:val="页眉 Char"/>
    <w:link w:val="6"/>
    <w:uiPriority w:val="99"/>
    <w:rPr>
      <w:rFonts w:ascii="Calibri" w:hAnsi="Calibri" w:eastAsia="宋体" w:cs="Times New Roman"/>
      <w:kern w:val="2"/>
      <w:sz w:val="18"/>
      <w:szCs w:val="18"/>
    </w:rPr>
  </w:style>
  <w:style w:type="character" w:customStyle="1" w:styleId="20">
    <w:name w:val="默认段落字体1"/>
    <w:uiPriority w:val="0"/>
    <w:rPr>
      <w:rFonts w:ascii="Times New Roman" w:hAnsi="Times New Roman" w:eastAsia="宋体" w:cs="Times New Roman"/>
    </w:rPr>
  </w:style>
  <w:style w:type="character" w:customStyle="1" w:styleId="21">
    <w:name w:val="NormalCharacter"/>
    <w:link w:val="15"/>
    <w:qFormat/>
    <w:uiPriority w:val="0"/>
    <w:rPr>
      <w:rFonts w:ascii="宋体" w:hAnsi="Calibri" w:eastAsia="宋体" w:cs="Times New Roman"/>
      <w:color w:val="auto"/>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3</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cp:lastPrinted>2023-01-05T15:11:13Z</cp:lastPrinted>
  <dcterms:modified xsi:type="dcterms:W3CDTF">2023-01-05T09:39:16Z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