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b w:val="0"/>
          <w:bCs w:val="0"/>
          <w:color w:val="000000"/>
          <w:kern w:val="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color w:val="000000"/>
          <w:szCs w:val="21"/>
        </w:rPr>
      </w:pPr>
    </w:p>
    <w:p>
      <w:pPr>
        <w:keepNext w:val="0"/>
        <w:keepLines w:val="0"/>
        <w:pageBreakBefore w:val="0"/>
        <w:widowControl w:val="0"/>
        <w:kinsoku/>
        <w:wordWrap/>
        <w:overflowPunct/>
        <w:topLinePunct w:val="0"/>
        <w:autoSpaceDE/>
        <w:autoSpaceDN/>
        <w:bidi w:val="0"/>
        <w:adjustRightInd/>
        <w:snapToGrid/>
        <w:spacing w:after="162" w:afterLines="50" w:line="580" w:lineRule="exact"/>
        <w:jc w:val="center"/>
        <w:textAlignment w:val="auto"/>
        <w:rPr>
          <w:rFonts w:hint="eastAsia" w:ascii="方正小标宋简体" w:hAnsi="方正小标宋简体" w:eastAsia="方正小标宋简体" w:cs="方正小标宋简体"/>
          <w:color w:val="000000"/>
          <w:spacing w:val="68"/>
          <w:kern w:val="0"/>
          <w:sz w:val="44"/>
          <w:szCs w:val="44"/>
        </w:rPr>
      </w:pPr>
      <w:bookmarkStart w:id="0" w:name="_GoBack"/>
      <w:bookmarkEnd w:id="0"/>
      <w:r>
        <w:rPr>
          <w:rFonts w:hint="eastAsia" w:ascii="方正小标宋简体" w:hAnsi="方正小标宋简体" w:eastAsia="方正小标宋简体" w:cs="方正小标宋简体"/>
          <w:color w:val="000000"/>
          <w:spacing w:val="68"/>
          <w:kern w:val="0"/>
          <w:sz w:val="44"/>
          <w:szCs w:val="44"/>
        </w:rPr>
        <w:t>重点支持事项清单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p>
    <w:tbl>
      <w:tblPr>
        <w:tblStyle w:val="3"/>
        <w:tblW w:w="8835" w:type="dxa"/>
        <w:jc w:val="center"/>
        <w:tblInd w:w="0" w:type="dxa"/>
        <w:tblLayout w:type="fixed"/>
        <w:tblCellMar>
          <w:top w:w="0" w:type="dxa"/>
          <w:left w:w="108" w:type="dxa"/>
          <w:bottom w:w="0" w:type="dxa"/>
          <w:right w:w="108" w:type="dxa"/>
        </w:tblCellMar>
      </w:tblPr>
      <w:tblGrid>
        <w:gridCol w:w="793"/>
        <w:gridCol w:w="5707"/>
        <w:gridCol w:w="2335"/>
      </w:tblGrid>
      <w:tr>
        <w:tblPrEx>
          <w:tblLayout w:type="fixed"/>
          <w:tblCellMar>
            <w:top w:w="0" w:type="dxa"/>
            <w:left w:w="108" w:type="dxa"/>
            <w:bottom w:w="0" w:type="dxa"/>
            <w:right w:w="108" w:type="dxa"/>
          </w:tblCellMar>
        </w:tblPrEx>
        <w:trPr>
          <w:trHeight w:val="552" w:hRule="atLeast"/>
          <w:tblHeader/>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序号</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支</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持</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事</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项</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8"/>
                <w:szCs w:val="28"/>
              </w:rPr>
              <w:t>责</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任</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单</w:t>
            </w:r>
            <w:r>
              <w:rPr>
                <w:rFonts w:hint="eastAsia" w:ascii="方正黑体_GBK" w:hAnsi="方正黑体_GBK" w:eastAsia="方正黑体_GBK" w:cs="方正黑体_GBK"/>
                <w:color w:val="000000"/>
                <w:kern w:val="0"/>
                <w:sz w:val="28"/>
                <w:szCs w:val="28"/>
                <w:lang w:val="en-US" w:eastAsia="zh-CN"/>
              </w:rPr>
              <w:t xml:space="preserve"> </w:t>
            </w:r>
            <w:r>
              <w:rPr>
                <w:rFonts w:hint="eastAsia" w:ascii="方正黑体_GBK" w:hAnsi="方正黑体_GBK" w:eastAsia="方正黑体_GBK" w:cs="方正黑体_GBK"/>
                <w:color w:val="000000"/>
                <w:kern w:val="0"/>
                <w:sz w:val="28"/>
                <w:szCs w:val="28"/>
              </w:rPr>
              <w:t>位</w:t>
            </w:r>
          </w:p>
        </w:tc>
      </w:tr>
      <w:tr>
        <w:tblPrEx>
          <w:tblLayout w:type="fixed"/>
          <w:tblCellMar>
            <w:top w:w="0" w:type="dxa"/>
            <w:left w:w="108" w:type="dxa"/>
            <w:bottom w:w="0" w:type="dxa"/>
            <w:right w:w="108" w:type="dxa"/>
          </w:tblCellMar>
        </w:tblPrEx>
        <w:trPr>
          <w:trHeight w:val="82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 1 \* Arabic \* MERGEFORMAT </w:instrText>
            </w:r>
            <w:r>
              <w:rPr>
                <w:rFonts w:hint="eastAsia" w:ascii="宋体" w:hAnsi="宋体" w:eastAsia="宋体" w:cs="宋体"/>
                <w:color w:val="000000"/>
                <w:sz w:val="24"/>
              </w:rPr>
              <w:fldChar w:fldCharType="separate"/>
            </w:r>
            <w:r>
              <w:rPr>
                <w:rFonts w:hint="eastAsia" w:ascii="宋体" w:hAnsi="宋体" w:eastAsia="宋体" w:cs="宋体"/>
                <w:color w:val="000000"/>
              </w:rPr>
              <w:t>1</w:t>
            </w:r>
            <w:r>
              <w:rPr>
                <w:rFonts w:hint="eastAsia" w:ascii="宋体" w:hAnsi="宋体" w:eastAsia="宋体" w:cs="宋体"/>
                <w:color w:val="000000"/>
                <w:sz w:val="24"/>
              </w:rPr>
              <w:fldChar w:fldCharType="end"/>
            </w:r>
          </w:p>
        </w:tc>
        <w:tc>
          <w:tcPr>
            <w:tcW w:w="57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创建国家级乳业知识产权运营中心、内蒙古农业大学乳业学院</w:t>
            </w:r>
          </w:p>
        </w:tc>
        <w:tc>
          <w:tcPr>
            <w:tcW w:w="233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kern w:val="0"/>
                <w:sz w:val="24"/>
              </w:rPr>
              <w:t>自治区市场监管局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教育厅</w:t>
            </w:r>
          </w:p>
        </w:tc>
      </w:tr>
      <w:tr>
        <w:tblPrEx>
          <w:tblLayout w:type="fixed"/>
          <w:tblCellMar>
            <w:top w:w="0" w:type="dxa"/>
            <w:left w:w="108" w:type="dxa"/>
            <w:bottom w:w="0" w:type="dxa"/>
            <w:right w:w="108" w:type="dxa"/>
          </w:tblCellMar>
        </w:tblPrEx>
        <w:trPr>
          <w:trHeight w:val="120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p>
        </w:tc>
        <w:tc>
          <w:tcPr>
            <w:tcW w:w="570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统筹布局以呼和浩特市为核心的奶牛牧场重点建设带，加快建设国际一流奶牛繁育基地，积极引进乳业上下游全链条头部企业</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支持呼和浩特市举办“全球乳业大会”</w:t>
            </w:r>
          </w:p>
        </w:tc>
        <w:tc>
          <w:tcPr>
            <w:tcW w:w="233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自治区农牧厅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商务厅</w:t>
            </w:r>
          </w:p>
        </w:tc>
      </w:tr>
      <w:tr>
        <w:tblPrEx>
          <w:tblLayout w:type="fixed"/>
          <w:tblCellMar>
            <w:top w:w="0" w:type="dxa"/>
            <w:left w:w="108" w:type="dxa"/>
            <w:bottom w:w="0" w:type="dxa"/>
            <w:right w:w="108" w:type="dxa"/>
          </w:tblCellMar>
        </w:tblPrEx>
        <w:trPr>
          <w:trHeight w:val="12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自治区、呼和浩特市和伊利集团三方分别出资5亿元建设研发资金，高标准打造国家乳业技术创新中心，确保2023年建成投用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w:t>
            </w:r>
            <w:r>
              <w:rPr>
                <w:rFonts w:hint="eastAsia" w:ascii="宋体" w:hAnsi="宋体" w:eastAsia="宋体" w:cs="宋体"/>
                <w:color w:val="000000"/>
                <w:spacing w:val="-11"/>
                <w:kern w:val="0"/>
                <w:sz w:val="24"/>
              </w:rPr>
              <w:t>治区财政厅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科技厅</w:t>
            </w:r>
          </w:p>
        </w:tc>
      </w:tr>
      <w:tr>
        <w:tblPrEx>
          <w:tblLayout w:type="fixed"/>
          <w:tblCellMar>
            <w:top w:w="0" w:type="dxa"/>
            <w:left w:w="108" w:type="dxa"/>
            <w:bottom w:w="0" w:type="dxa"/>
            <w:right w:w="108" w:type="dxa"/>
          </w:tblCellMar>
        </w:tblPrEx>
        <w:trPr>
          <w:trHeight w:val="8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实施草种业发展行动和现代种业提升工程，创建中国草业种质资源库、国家草种业技术创新中心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自治区林草局</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科技厅</w:t>
            </w:r>
          </w:p>
        </w:tc>
      </w:tr>
      <w:tr>
        <w:tblPrEx>
          <w:tblLayout w:type="fixed"/>
          <w:tblCellMar>
            <w:top w:w="0" w:type="dxa"/>
            <w:left w:w="108" w:type="dxa"/>
            <w:bottom w:w="0" w:type="dxa"/>
            <w:right w:w="108" w:type="dxa"/>
          </w:tblCellMar>
        </w:tblPrEx>
        <w:trPr>
          <w:trHeight w:val="100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出台《支持和林格尔数据中心集群发展的若干意见》</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p>
        </w:tc>
      </w:tr>
      <w:tr>
        <w:tblPrEx>
          <w:tblLayout w:type="fixed"/>
          <w:tblCellMar>
            <w:top w:w="0" w:type="dxa"/>
            <w:left w:w="108" w:type="dxa"/>
            <w:bottom w:w="0" w:type="dxa"/>
            <w:right w:w="108" w:type="dxa"/>
          </w:tblCellMar>
        </w:tblPrEx>
        <w:trPr>
          <w:trHeight w:val="101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加快推进5G网络、千兆光网建设和工业互联网改造</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r>
              <w:rPr>
                <w:rFonts w:hint="eastAsia" w:ascii="宋体" w:hAnsi="宋体" w:eastAsia="宋体" w:cs="宋体"/>
                <w:color w:val="000000"/>
                <w:kern w:val="0"/>
                <w:sz w:val="24"/>
                <w:lang w:eastAsia="zh-CN"/>
              </w:rPr>
              <w:t>、内蒙古</w:t>
            </w:r>
            <w:r>
              <w:rPr>
                <w:rFonts w:hint="eastAsia" w:ascii="宋体" w:hAnsi="宋体" w:eastAsia="宋体" w:cs="宋体"/>
                <w:color w:val="000000"/>
                <w:kern w:val="0"/>
                <w:sz w:val="24"/>
              </w:rPr>
              <w:t>通信管理局</w:t>
            </w:r>
          </w:p>
        </w:tc>
      </w:tr>
      <w:tr>
        <w:tblPrEx>
          <w:tblLayout w:type="fixed"/>
          <w:tblCellMar>
            <w:top w:w="0" w:type="dxa"/>
            <w:left w:w="108" w:type="dxa"/>
            <w:bottom w:w="0" w:type="dxa"/>
            <w:right w:w="108" w:type="dxa"/>
          </w:tblCellMar>
        </w:tblPrEx>
        <w:trPr>
          <w:trHeight w:val="86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探索大数据及关联产业增加值单独核算机制</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自治区统计局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大数据中心</w:t>
            </w:r>
          </w:p>
        </w:tc>
      </w:tr>
      <w:tr>
        <w:tblPrEx>
          <w:tblLayout w:type="fixed"/>
          <w:tblCellMar>
            <w:top w:w="0" w:type="dxa"/>
            <w:left w:w="108" w:type="dxa"/>
            <w:bottom w:w="0" w:type="dxa"/>
            <w:right w:w="108" w:type="dxa"/>
          </w:tblCellMar>
        </w:tblPrEx>
        <w:trPr>
          <w:trHeight w:val="14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以和林格尔新区为核心建设全国一体化算力网络国家枢纽节点，</w:t>
            </w:r>
            <w:r>
              <w:rPr>
                <w:rFonts w:hint="eastAsia" w:ascii="宋体" w:hAnsi="宋体" w:eastAsia="宋体" w:cs="宋体"/>
                <w:color w:val="000000"/>
                <w:spacing w:val="-11"/>
                <w:kern w:val="0"/>
                <w:sz w:val="24"/>
              </w:rPr>
              <w:t>建设国家“东数西算”工程北方算力中心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 xml:space="preserve">大数据中心 </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工业和信息化厅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能源局</w:t>
            </w:r>
          </w:p>
        </w:tc>
      </w:tr>
      <w:tr>
        <w:tblPrEx>
          <w:tblLayout w:type="fixed"/>
          <w:tblCellMar>
            <w:top w:w="0" w:type="dxa"/>
            <w:left w:w="108" w:type="dxa"/>
            <w:bottom w:w="0" w:type="dxa"/>
            <w:right w:w="108" w:type="dxa"/>
          </w:tblCellMar>
        </w:tblPrEx>
        <w:trPr>
          <w:trHeight w:val="83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积极推动更多金融机构总部将数据中心落户和林格尔新区，打造金融云谷</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自治区地方金融监管局</w:t>
            </w:r>
          </w:p>
        </w:tc>
      </w:tr>
      <w:tr>
        <w:tblPrEx>
          <w:tblLayout w:type="fixed"/>
          <w:tblCellMar>
            <w:top w:w="0" w:type="dxa"/>
            <w:left w:w="108" w:type="dxa"/>
            <w:bottom w:w="0" w:type="dxa"/>
            <w:right w:w="108" w:type="dxa"/>
          </w:tblCellMar>
        </w:tblPrEx>
        <w:trPr>
          <w:trHeight w:val="78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加快建设内蒙古中环产业城</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能源局</w:t>
            </w:r>
          </w:p>
        </w:tc>
      </w:tr>
      <w:tr>
        <w:tblPrEx>
          <w:tblLayout w:type="fixed"/>
          <w:tblCellMar>
            <w:top w:w="0" w:type="dxa"/>
            <w:left w:w="108" w:type="dxa"/>
            <w:bottom w:w="0" w:type="dxa"/>
            <w:right w:w="108" w:type="dxa"/>
          </w:tblCellMar>
        </w:tblPrEx>
        <w:trPr>
          <w:trHeight w:val="81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打造新一代半导体材料研发平台，重点突破太阳能电池、光伏应用核心部件研发生产</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卡脖子</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技术</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71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依托</w:t>
            </w:r>
            <w:r>
              <w:rPr>
                <w:rFonts w:hint="eastAsia" w:ascii="宋体" w:hAnsi="宋体" w:eastAsia="宋体" w:cs="宋体"/>
                <w:color w:val="000000"/>
                <w:kern w:val="0"/>
                <w:sz w:val="24"/>
                <w:lang w:eastAsia="zh-CN"/>
              </w:rPr>
              <w:t>科研院所</w:t>
            </w:r>
            <w:r>
              <w:rPr>
                <w:rFonts w:hint="eastAsia" w:ascii="宋体" w:hAnsi="宋体" w:eastAsia="宋体" w:cs="宋体"/>
                <w:color w:val="000000"/>
                <w:kern w:val="0"/>
                <w:sz w:val="24"/>
              </w:rPr>
              <w:t>设立呼和浩特航天经济开发区</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自治区工业和信息化厅</w:t>
            </w:r>
          </w:p>
        </w:tc>
      </w:tr>
      <w:tr>
        <w:tblPrEx>
          <w:tblLayout w:type="fixed"/>
          <w:tblCellMar>
            <w:top w:w="0" w:type="dxa"/>
            <w:left w:w="108" w:type="dxa"/>
            <w:bottom w:w="0" w:type="dxa"/>
            <w:right w:w="108" w:type="dxa"/>
          </w:tblCellMar>
        </w:tblPrEx>
        <w:trPr>
          <w:trHeight w:val="93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建设国家动物疫苗技术创新中心，开展非洲猪瘟疫苗等关键核心技术和产品研发攻关</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91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推动生物发酵产业向下游延伸，开发终端产品</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4"/>
              </w:rPr>
            </w:pPr>
            <w:r>
              <w:rPr>
                <w:rFonts w:hint="eastAsia" w:ascii="宋体" w:hAnsi="宋体" w:eastAsia="宋体" w:cs="宋体"/>
                <w:color w:val="000000"/>
                <w:sz w:val="24"/>
              </w:rPr>
              <w:t>自治区工业和信息化厅</w:t>
            </w:r>
          </w:p>
        </w:tc>
      </w:tr>
      <w:tr>
        <w:tblPrEx>
          <w:tblLayout w:type="fixed"/>
          <w:tblCellMar>
            <w:top w:w="0" w:type="dxa"/>
            <w:left w:w="108" w:type="dxa"/>
            <w:bottom w:w="0" w:type="dxa"/>
            <w:right w:w="108" w:type="dxa"/>
          </w:tblCellMar>
        </w:tblPrEx>
        <w:trPr>
          <w:trHeight w:val="8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加强中医药（蒙医药）经典名方研究开发、新药研发和一致性评价，建设制剂中心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104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支持托清工业园区、金桥开发区申报认定化工园区</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Cs w:val="21"/>
              </w:rPr>
            </w:pPr>
            <w:r>
              <w:rPr>
                <w:rFonts w:hint="eastAsia" w:ascii="宋体" w:hAnsi="宋体" w:eastAsia="宋体" w:cs="宋体"/>
                <w:color w:val="000000"/>
                <w:sz w:val="24"/>
              </w:rPr>
              <w:t>自治区工业和信息化厅</w:t>
            </w:r>
            <w:r>
              <w:rPr>
                <w:rFonts w:hint="eastAsia" w:ascii="宋体" w:hAnsi="宋体" w:eastAsia="宋体" w:cs="宋体"/>
                <w:color w:val="000000"/>
                <w:sz w:val="24"/>
                <w:lang w:eastAsia="zh-CN"/>
              </w:rPr>
              <w:t>、</w:t>
            </w:r>
            <w:r>
              <w:rPr>
                <w:rFonts w:hint="eastAsia" w:ascii="宋体" w:hAnsi="宋体" w:eastAsia="宋体" w:cs="宋体"/>
                <w:color w:val="000000"/>
                <w:kern w:val="0"/>
                <w:sz w:val="24"/>
              </w:rPr>
              <w:t>应急厅</w:t>
            </w:r>
          </w:p>
        </w:tc>
      </w:tr>
      <w:tr>
        <w:tblPrEx>
          <w:tblLayout w:type="fixed"/>
          <w:tblCellMar>
            <w:top w:w="0" w:type="dxa"/>
            <w:left w:w="108" w:type="dxa"/>
            <w:bottom w:w="0" w:type="dxa"/>
            <w:right w:w="108" w:type="dxa"/>
          </w:tblCellMar>
        </w:tblPrEx>
        <w:trPr>
          <w:trHeight w:val="107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推进大窑遗址考古发掘、遗址公园建设，实施长城、黄河国家文化公园等文化传承保护工程</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rPr>
            </w:pPr>
            <w:r>
              <w:rPr>
                <w:rFonts w:hint="eastAsia" w:ascii="宋体" w:hAnsi="宋体" w:eastAsia="宋体" w:cs="宋体"/>
                <w:color w:val="000000"/>
                <w:kern w:val="0"/>
                <w:sz w:val="24"/>
              </w:rPr>
              <w:t>自治区文化和旅游厅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p>
        </w:tc>
      </w:tr>
      <w:tr>
        <w:tblPrEx>
          <w:tblLayout w:type="fixed"/>
          <w:tblCellMar>
            <w:top w:w="0" w:type="dxa"/>
            <w:left w:w="108" w:type="dxa"/>
            <w:bottom w:w="0" w:type="dxa"/>
            <w:right w:w="108" w:type="dxa"/>
          </w:tblCellMar>
        </w:tblPrEx>
        <w:trPr>
          <w:trHeight w:val="275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支持呼和浩特市联合鄂尔多斯市一体化运营、一体化创建内蒙古黄河大峡谷国家5A级旅游景区，推动伊利现代智慧健康谷沉浸式工业智慧旅游示范区创建国家5A级旅游景区，打造马鬃山国家级滑雪旅游度假地，争创国家文化和旅游消费示范城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支持呼和浩特市举办昭君文化节、冬季冰雪旅游季等特色品牌活动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spacing w:val="-11"/>
                <w:kern w:val="0"/>
                <w:sz w:val="24"/>
              </w:rPr>
              <w:t>自治区文化和旅游厅</w:t>
            </w:r>
          </w:p>
        </w:tc>
      </w:tr>
      <w:tr>
        <w:tblPrEx>
          <w:tblLayout w:type="fixed"/>
          <w:tblCellMar>
            <w:top w:w="0" w:type="dxa"/>
            <w:left w:w="108" w:type="dxa"/>
            <w:bottom w:w="0" w:type="dxa"/>
            <w:right w:w="108" w:type="dxa"/>
          </w:tblCellMar>
        </w:tblPrEx>
        <w:trPr>
          <w:trHeight w:val="8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19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推动青少年足球产业发展，培育马拉松、赛马、冰雪等特色体育品牌</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自治区体育局</w:t>
            </w:r>
          </w:p>
        </w:tc>
      </w:tr>
      <w:tr>
        <w:tblPrEx>
          <w:tblLayout w:type="fixed"/>
          <w:tblCellMar>
            <w:top w:w="0" w:type="dxa"/>
            <w:left w:w="108" w:type="dxa"/>
            <w:bottom w:w="0" w:type="dxa"/>
            <w:right w:w="108" w:type="dxa"/>
          </w:tblCellMar>
        </w:tblPrEx>
        <w:trPr>
          <w:trHeight w:val="45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支持国家北方能源总部基地落户呼和浩特市</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bCs/>
                <w:color w:val="000000"/>
                <w:kern w:val="0"/>
                <w:sz w:val="24"/>
              </w:rPr>
            </w:pPr>
            <w:r>
              <w:rPr>
                <w:rFonts w:hint="eastAsia" w:ascii="宋体" w:hAnsi="宋体" w:eastAsia="宋体" w:cs="宋体"/>
                <w:color w:val="000000"/>
                <w:sz w:val="24"/>
              </w:rPr>
              <w:t>自治</w:t>
            </w:r>
            <w:r>
              <w:rPr>
                <w:rFonts w:hint="eastAsia" w:ascii="宋体" w:hAnsi="宋体" w:eastAsia="宋体" w:cs="宋体"/>
                <w:color w:val="000000"/>
                <w:kern w:val="0"/>
                <w:sz w:val="24"/>
              </w:rPr>
              <w:t>区能源局</w:t>
            </w:r>
          </w:p>
        </w:tc>
      </w:tr>
      <w:tr>
        <w:tblPrEx>
          <w:tblLayout w:type="fixed"/>
          <w:tblCellMar>
            <w:top w:w="0" w:type="dxa"/>
            <w:left w:w="108" w:type="dxa"/>
            <w:bottom w:w="0" w:type="dxa"/>
            <w:right w:w="108" w:type="dxa"/>
          </w:tblCellMar>
        </w:tblPrEx>
        <w:trPr>
          <w:trHeight w:val="163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出台鼓励支持办法，</w:t>
            </w:r>
            <w:r>
              <w:rPr>
                <w:rFonts w:hint="eastAsia" w:ascii="宋体" w:hAnsi="宋体" w:eastAsia="宋体" w:cs="宋体"/>
                <w:color w:val="auto"/>
                <w:sz w:val="24"/>
                <w:lang w:eastAsia="zh-CN"/>
              </w:rPr>
              <w:t>自治区、呼和浩特市</w:t>
            </w:r>
            <w:r>
              <w:rPr>
                <w:rFonts w:hint="eastAsia" w:ascii="宋体" w:hAnsi="宋体" w:eastAsia="宋体" w:cs="宋体"/>
                <w:color w:val="000000"/>
                <w:sz w:val="24"/>
              </w:rPr>
              <w:t>分成财力对总部企业在用房、融资、纳税、人才引育、科技创新等事项予以支持，吸引重点企业、行业龙头企业、金融机构在呼和浩特市设立总部或大区域总部、功能性总部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自治区商务厅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财政厅</w:t>
            </w:r>
          </w:p>
        </w:tc>
      </w:tr>
      <w:tr>
        <w:tblPrEx>
          <w:tblLayout w:type="fixed"/>
          <w:tblCellMar>
            <w:top w:w="0" w:type="dxa"/>
            <w:left w:w="108" w:type="dxa"/>
            <w:bottom w:w="0" w:type="dxa"/>
            <w:right w:w="108" w:type="dxa"/>
          </w:tblCellMar>
        </w:tblPrEx>
        <w:trPr>
          <w:trHeight w:val="113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鼓励在自治区投资兴业的重点企业同步在呼和浩特市布局设立总部</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自治区商务厅</w:t>
            </w:r>
          </w:p>
        </w:tc>
      </w:tr>
      <w:tr>
        <w:tblPrEx>
          <w:tblLayout w:type="fixed"/>
          <w:tblCellMar>
            <w:top w:w="0" w:type="dxa"/>
            <w:left w:w="108" w:type="dxa"/>
            <w:bottom w:w="0" w:type="dxa"/>
            <w:right w:w="108" w:type="dxa"/>
          </w:tblCellMar>
        </w:tblPrEx>
        <w:trPr>
          <w:trHeight w:val="121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推动区属国有企业优先在呼和浩特市布局投资项目，支持自治区级产业发展引导基金优先投资呼和浩特市落地项目</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spacing w:val="-11"/>
                <w:kern w:val="0"/>
                <w:sz w:val="24"/>
              </w:rPr>
              <w:t>自治区国资委</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财政厅</w:t>
            </w:r>
          </w:p>
        </w:tc>
      </w:tr>
      <w:tr>
        <w:tblPrEx>
          <w:tblLayout w:type="fixed"/>
          <w:tblCellMar>
            <w:top w:w="0" w:type="dxa"/>
            <w:left w:w="108" w:type="dxa"/>
            <w:bottom w:w="0" w:type="dxa"/>
            <w:right w:w="108" w:type="dxa"/>
          </w:tblCellMar>
        </w:tblPrEx>
        <w:trPr>
          <w:trHeight w:val="129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注册在呼和浩特市的中央和自治区级总部经济企业所缴纳的增值税和所得税，符合国家政策规定的地方留存部分在呼和浩特</w:t>
            </w:r>
            <w:r>
              <w:rPr>
                <w:rFonts w:hint="eastAsia" w:ascii="宋体" w:hAnsi="宋体" w:eastAsia="宋体" w:cs="宋体"/>
                <w:color w:val="000000"/>
                <w:sz w:val="24"/>
                <w:lang w:eastAsia="zh-CN"/>
              </w:rPr>
              <w:t>市</w:t>
            </w:r>
            <w:r>
              <w:rPr>
                <w:rFonts w:hint="eastAsia" w:ascii="宋体" w:hAnsi="宋体" w:eastAsia="宋体" w:cs="宋体"/>
                <w:color w:val="000000"/>
                <w:sz w:val="24"/>
              </w:rPr>
              <w:t>入库</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rPr>
            </w:pPr>
            <w:r>
              <w:rPr>
                <w:rFonts w:hint="eastAsia" w:ascii="宋体" w:hAnsi="宋体" w:eastAsia="宋体" w:cs="宋体"/>
                <w:color w:val="000000"/>
                <w:kern w:val="0"/>
                <w:sz w:val="24"/>
              </w:rPr>
              <w:t>自治区财政厅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内蒙古税务局</w:t>
            </w:r>
          </w:p>
        </w:tc>
      </w:tr>
      <w:tr>
        <w:tblPrEx>
          <w:tblLayout w:type="fixed"/>
          <w:tblCellMar>
            <w:top w:w="0" w:type="dxa"/>
            <w:left w:w="108" w:type="dxa"/>
            <w:bottom w:w="0" w:type="dxa"/>
            <w:right w:w="108" w:type="dxa"/>
          </w:tblCellMar>
        </w:tblPrEx>
        <w:trPr>
          <w:trHeight w:val="120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支持申报陆港型国家物流枢纽，构建以呼和浩特为核心枢纽的自治区应急物流设施网络</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交通运输厅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应急厅</w:t>
            </w:r>
          </w:p>
        </w:tc>
      </w:tr>
      <w:tr>
        <w:tblPrEx>
          <w:tblLayout w:type="fixed"/>
          <w:tblCellMar>
            <w:top w:w="0" w:type="dxa"/>
            <w:left w:w="108" w:type="dxa"/>
            <w:bottom w:w="0" w:type="dxa"/>
            <w:right w:w="108" w:type="dxa"/>
          </w:tblCellMar>
        </w:tblPrEx>
        <w:trPr>
          <w:trHeight w:val="101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支持建设呼和浩特新机场空港物流园</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自治区商务厅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内蒙</w:t>
            </w:r>
            <w:r>
              <w:rPr>
                <w:rFonts w:hint="eastAsia" w:ascii="宋体" w:hAnsi="宋体" w:eastAsia="宋体" w:cs="宋体"/>
                <w:color w:val="000000"/>
                <w:spacing w:val="-11"/>
                <w:kern w:val="0"/>
                <w:sz w:val="24"/>
              </w:rPr>
              <w:t>古民航机场集团</w:t>
            </w:r>
            <w:r>
              <w:rPr>
                <w:rFonts w:hint="eastAsia" w:ascii="宋体" w:hAnsi="宋体" w:eastAsia="宋体" w:cs="宋体"/>
                <w:color w:val="000000"/>
                <w:spacing w:val="-11"/>
                <w:kern w:val="0"/>
                <w:sz w:val="24"/>
                <w:lang w:eastAsia="zh-CN"/>
              </w:rPr>
              <w:t>公司</w:t>
            </w:r>
          </w:p>
        </w:tc>
      </w:tr>
      <w:tr>
        <w:tblPrEx>
          <w:tblLayout w:type="fixed"/>
          <w:tblCellMar>
            <w:top w:w="0" w:type="dxa"/>
            <w:left w:w="108" w:type="dxa"/>
            <w:bottom w:w="0" w:type="dxa"/>
            <w:right w:w="108" w:type="dxa"/>
          </w:tblCellMar>
        </w:tblPrEx>
        <w:trPr>
          <w:trHeight w:val="19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加快推动呼和浩特至包头高铁、呼和浩特至朔州至太原高铁、呼和浩特至鄂尔多斯高铁项目，规划建设以呼和浩特市为中心、贯穿自治区东西部的高铁通道，着力构建呼包鄂乌1小时交通圈、生活圈，形成以呼和浩特市为枢纽的高速铁路网</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自治区发展改革委</w:t>
            </w:r>
            <w:r>
              <w:rPr>
                <w:rFonts w:hint="eastAsia" w:ascii="宋体" w:hAnsi="宋体" w:eastAsia="宋体" w:cs="宋体"/>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rPr>
            </w:pPr>
            <w:r>
              <w:rPr>
                <w:rFonts w:hint="eastAsia" w:ascii="宋体" w:hAnsi="宋体" w:eastAsia="宋体" w:cs="宋体"/>
                <w:color w:val="000000"/>
                <w:kern w:val="0"/>
                <w:sz w:val="24"/>
              </w:rPr>
              <w:t>中国铁路呼和浩特局集团有限公司</w:t>
            </w:r>
          </w:p>
        </w:tc>
      </w:tr>
      <w:tr>
        <w:tblPrEx>
          <w:tblLayout w:type="fixed"/>
          <w:tblCellMar>
            <w:top w:w="0" w:type="dxa"/>
            <w:left w:w="108" w:type="dxa"/>
            <w:bottom w:w="0" w:type="dxa"/>
            <w:right w:w="108" w:type="dxa"/>
          </w:tblCellMar>
        </w:tblPrEx>
        <w:trPr>
          <w:trHeight w:val="162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加快完善</w:t>
            </w:r>
            <w:r>
              <w:rPr>
                <w:rFonts w:hint="eastAsia" w:ascii="宋体" w:hAnsi="宋体" w:eastAsia="宋体" w:cs="宋体"/>
                <w:color w:val="000000"/>
                <w:kern w:val="0"/>
                <w:sz w:val="24"/>
                <w:lang w:eastAsia="zh-CN"/>
              </w:rPr>
              <w:t>呼和浩特</w:t>
            </w:r>
            <w:r>
              <w:rPr>
                <w:rFonts w:hint="eastAsia" w:ascii="宋体" w:hAnsi="宋体" w:eastAsia="宋体" w:cs="宋体"/>
                <w:color w:val="000000"/>
                <w:kern w:val="0"/>
                <w:sz w:val="24"/>
              </w:rPr>
              <w:t>新机场周边路网，启动实施新机场与高铁、轨道交通、高速公路快速接驳工程，积极推动市域铁路机场线前期工作，实现航空与公路客运、城市公共交通“零换乘”、货运“无缝衔接”</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自治区交通运输厅</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z w:val="24"/>
              </w:rPr>
              <w:t>发展改革委</w:t>
            </w:r>
          </w:p>
        </w:tc>
      </w:tr>
      <w:tr>
        <w:tblPrEx>
          <w:tblLayout w:type="fixed"/>
          <w:tblCellMar>
            <w:top w:w="0" w:type="dxa"/>
            <w:left w:w="108" w:type="dxa"/>
            <w:bottom w:w="0" w:type="dxa"/>
            <w:right w:w="108" w:type="dxa"/>
          </w:tblCellMar>
        </w:tblPrEx>
        <w:trPr>
          <w:trHeight w:val="86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加大</w:t>
            </w:r>
            <w:r>
              <w:rPr>
                <w:rFonts w:hint="eastAsia" w:ascii="宋体" w:hAnsi="宋体" w:eastAsia="宋体" w:cs="宋体"/>
                <w:color w:val="000000"/>
                <w:spacing w:val="-11"/>
                <w:kern w:val="0"/>
                <w:sz w:val="24"/>
              </w:rPr>
              <w:t>国内、国际航线拓展支持力度，打造航空集散中心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lang w:eastAsia="zh-CN"/>
              </w:rPr>
            </w:pPr>
            <w:r>
              <w:rPr>
                <w:rFonts w:hint="eastAsia" w:ascii="宋体" w:hAnsi="宋体" w:eastAsia="宋体" w:cs="宋体"/>
                <w:color w:val="000000"/>
                <w:sz w:val="24"/>
              </w:rPr>
              <w:t>内蒙古民航机场集团</w:t>
            </w:r>
            <w:r>
              <w:rPr>
                <w:rFonts w:hint="eastAsia" w:ascii="宋体" w:hAnsi="宋体" w:eastAsia="宋体" w:cs="宋体"/>
                <w:color w:val="000000"/>
                <w:sz w:val="24"/>
                <w:lang w:eastAsia="zh-CN"/>
              </w:rPr>
              <w:t>公司</w:t>
            </w:r>
          </w:p>
        </w:tc>
      </w:tr>
      <w:tr>
        <w:tblPrEx>
          <w:tblLayout w:type="fixed"/>
          <w:tblCellMar>
            <w:top w:w="0" w:type="dxa"/>
            <w:left w:w="108" w:type="dxa"/>
            <w:bottom w:w="0" w:type="dxa"/>
            <w:right w:w="108" w:type="dxa"/>
          </w:tblCellMar>
        </w:tblPrEx>
        <w:trPr>
          <w:trHeight w:val="126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加快建设S43机场高速公路、S29呼凉高速公路和S27呼鄂高速公路等项目，支持启动实施</w:t>
            </w:r>
            <w:r>
              <w:rPr>
                <w:rFonts w:hint="eastAsia" w:ascii="宋体" w:hAnsi="宋体" w:eastAsia="宋体" w:cs="宋体"/>
                <w:color w:val="000000"/>
                <w:kern w:val="0"/>
                <w:sz w:val="24"/>
                <w:lang w:eastAsia="zh-CN"/>
              </w:rPr>
              <w:t>呼和浩特</w:t>
            </w:r>
            <w:r>
              <w:rPr>
                <w:rFonts w:hint="eastAsia" w:ascii="宋体" w:hAnsi="宋体" w:eastAsia="宋体" w:cs="宋体"/>
                <w:color w:val="000000"/>
                <w:kern w:val="0"/>
                <w:sz w:val="24"/>
              </w:rPr>
              <w:t>新机场至清水河、呼和浩特至武川高速公路</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自治区交通运输厅</w:t>
            </w:r>
          </w:p>
        </w:tc>
      </w:tr>
      <w:tr>
        <w:tblPrEx>
          <w:tblLayout w:type="fixed"/>
          <w:tblCellMar>
            <w:top w:w="0" w:type="dxa"/>
            <w:left w:w="108" w:type="dxa"/>
            <w:bottom w:w="0" w:type="dxa"/>
            <w:right w:w="108" w:type="dxa"/>
          </w:tblCellMar>
        </w:tblPrEx>
        <w:trPr>
          <w:trHeight w:val="7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健全地铁线路运营补贴机制，自治区以定额补助方式每年补助呼和浩特市10亿元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95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加快城市高架快速路网建设，加快实施大唐托电等热源入呼工程</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自治区住房城乡建设厅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交通运输厅</w:t>
            </w:r>
          </w:p>
        </w:tc>
      </w:tr>
      <w:tr>
        <w:tblPrEx>
          <w:tblLayout w:type="fixed"/>
          <w:tblCellMar>
            <w:top w:w="0" w:type="dxa"/>
            <w:left w:w="108" w:type="dxa"/>
            <w:bottom w:w="0" w:type="dxa"/>
            <w:right w:w="108" w:type="dxa"/>
          </w:tblCellMar>
        </w:tblPrEx>
        <w:trPr>
          <w:trHeight w:val="79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落实用水指标，分期实施引黄入呼三期工程</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自治区水利厅</w:t>
            </w:r>
          </w:p>
        </w:tc>
      </w:tr>
      <w:tr>
        <w:tblPrEx>
          <w:tblLayout w:type="fixed"/>
          <w:tblCellMar>
            <w:top w:w="0" w:type="dxa"/>
            <w:left w:w="108" w:type="dxa"/>
            <w:bottom w:w="0" w:type="dxa"/>
            <w:right w:w="108" w:type="dxa"/>
          </w:tblCellMar>
        </w:tblPrEx>
        <w:trPr>
          <w:trHeight w:val="92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足量保障首府发电、供热及重点生产企业用煤和农民冬季取暖用煤用气需求</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Cs w:val="21"/>
              </w:rPr>
            </w:pPr>
            <w:r>
              <w:rPr>
                <w:rFonts w:hint="eastAsia" w:ascii="宋体" w:hAnsi="宋体" w:eastAsia="宋体" w:cs="宋体"/>
                <w:color w:val="000000"/>
                <w:kern w:val="0"/>
                <w:sz w:val="24"/>
              </w:rPr>
              <w:t>自治区能源局</w:t>
            </w:r>
          </w:p>
        </w:tc>
      </w:tr>
      <w:tr>
        <w:tblPrEx>
          <w:tblLayout w:type="fixed"/>
          <w:tblCellMar>
            <w:top w:w="0" w:type="dxa"/>
            <w:left w:w="108" w:type="dxa"/>
            <w:bottom w:w="0" w:type="dxa"/>
            <w:right w:w="108" w:type="dxa"/>
          </w:tblCellMar>
        </w:tblPrEx>
        <w:trPr>
          <w:trHeight w:val="99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成立由自治区政府分管领导和呼和浩特市委主要领导</w:t>
            </w:r>
            <w:r>
              <w:rPr>
                <w:rFonts w:hint="eastAsia" w:ascii="宋体" w:hAnsi="宋体" w:eastAsia="宋体" w:cs="宋体"/>
                <w:color w:val="000000"/>
                <w:kern w:val="0"/>
                <w:sz w:val="24"/>
                <w:lang w:eastAsia="zh-CN"/>
              </w:rPr>
              <w:t>担</w:t>
            </w:r>
            <w:r>
              <w:rPr>
                <w:rFonts w:hint="eastAsia" w:ascii="宋体" w:hAnsi="宋体" w:eastAsia="宋体" w:cs="宋体"/>
                <w:color w:val="000000"/>
                <w:kern w:val="0"/>
                <w:sz w:val="24"/>
              </w:rPr>
              <w:t>任组长的首府城市规划委员会</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自治区自然资源厅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住房城乡建设厅</w:t>
            </w:r>
          </w:p>
        </w:tc>
      </w:tr>
      <w:tr>
        <w:tblPrEx>
          <w:tblLayout w:type="fixed"/>
          <w:tblCellMar>
            <w:top w:w="0" w:type="dxa"/>
            <w:left w:w="108" w:type="dxa"/>
            <w:bottom w:w="0" w:type="dxa"/>
            <w:right w:w="108" w:type="dxa"/>
          </w:tblCellMar>
        </w:tblPrEx>
        <w:trPr>
          <w:trHeight w:val="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落实国家城市更新试点任务，加快老旧小区、背街小巷、市政管网改造，重点开展回民区、玉泉区等老城区基础设施更新、环境综合整治，有序实施“八横八纵”主干路街道更新，支持开展重点区域棚户区改造</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自治区住房城乡建设厅</w:t>
            </w:r>
          </w:p>
        </w:tc>
      </w:tr>
      <w:tr>
        <w:tblPrEx>
          <w:tblLayout w:type="fixed"/>
          <w:tblCellMar>
            <w:top w:w="0" w:type="dxa"/>
            <w:left w:w="108" w:type="dxa"/>
            <w:bottom w:w="0" w:type="dxa"/>
            <w:right w:w="108" w:type="dxa"/>
          </w:tblCellMar>
        </w:tblPrEx>
        <w:trPr>
          <w:trHeight w:val="94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高规格打造沿黄生态廊道，高标准开展哈素海、大黑河、小黑河生态综合治理</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自治区生态环境厅</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水利厅</w:t>
            </w:r>
            <w:r>
              <w:rPr>
                <w:rFonts w:hint="eastAsia" w:ascii="宋体" w:hAnsi="宋体" w:eastAsia="宋体" w:cs="宋体"/>
                <w:color w:val="000000"/>
                <w:szCs w:val="21"/>
                <w:lang w:eastAsia="zh-CN"/>
              </w:rPr>
              <w:t>、</w:t>
            </w:r>
            <w:r>
              <w:rPr>
                <w:rFonts w:hint="eastAsia" w:ascii="宋体" w:hAnsi="宋体" w:eastAsia="宋体" w:cs="宋体"/>
                <w:color w:val="000000"/>
                <w:kern w:val="0"/>
                <w:sz w:val="24"/>
              </w:rPr>
              <w:t>林草局</w:t>
            </w:r>
          </w:p>
        </w:tc>
      </w:tr>
      <w:tr>
        <w:tblPrEx>
          <w:tblLayout w:type="fixed"/>
          <w:tblCellMar>
            <w:top w:w="0" w:type="dxa"/>
            <w:left w:w="108" w:type="dxa"/>
            <w:bottom w:w="0" w:type="dxa"/>
            <w:right w:w="108" w:type="dxa"/>
          </w:tblCellMar>
        </w:tblPrEx>
        <w:trPr>
          <w:trHeight w:val="70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支持申报实施山水林田湖草沙一体化保护和修复工程国家试点项目</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自然</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资源厅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生态环境厅</w:t>
            </w:r>
          </w:p>
        </w:tc>
      </w:tr>
      <w:tr>
        <w:tblPrEx>
          <w:tblLayout w:type="fixed"/>
          <w:tblCellMar>
            <w:top w:w="0" w:type="dxa"/>
            <w:left w:w="108" w:type="dxa"/>
            <w:bottom w:w="0" w:type="dxa"/>
            <w:right w:w="108" w:type="dxa"/>
          </w:tblCellMar>
        </w:tblPrEx>
        <w:trPr>
          <w:trHeight w:val="69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39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打造大青山前坡生态绿带、大黑河两岸郊野花带</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kern w:val="0"/>
                <w:sz w:val="24"/>
              </w:rPr>
              <w:t>自治区住房城乡建设厅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林草局</w:t>
            </w:r>
          </w:p>
        </w:tc>
      </w:tr>
      <w:tr>
        <w:tblPrEx>
          <w:tblLayout w:type="fixed"/>
          <w:tblCellMar>
            <w:top w:w="0" w:type="dxa"/>
            <w:left w:w="108" w:type="dxa"/>
            <w:bottom w:w="0" w:type="dxa"/>
            <w:right w:w="108" w:type="dxa"/>
          </w:tblCellMar>
        </w:tblPrEx>
        <w:trPr>
          <w:trHeight w:val="134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支持北京友谊医院和内蒙古自治区人民医院共建国家区域医疗中心，建设内蒙古医科大学附属中医蒙医医院，支持呼和浩特第一医院创建三甲医院</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自治区卫生健康委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教育厅</w:t>
            </w:r>
          </w:p>
        </w:tc>
      </w:tr>
      <w:tr>
        <w:tblPrEx>
          <w:tblLayout w:type="fixed"/>
          <w:tblCellMar>
            <w:top w:w="0" w:type="dxa"/>
            <w:left w:w="108" w:type="dxa"/>
            <w:bottom w:w="0" w:type="dxa"/>
            <w:right w:w="108" w:type="dxa"/>
          </w:tblCellMar>
        </w:tblPrEx>
        <w:trPr>
          <w:trHeight w:val="6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建立</w:t>
            </w:r>
            <w:r>
              <w:rPr>
                <w:rFonts w:hint="eastAsia" w:ascii="宋体" w:hAnsi="宋体" w:eastAsia="宋体" w:cs="宋体"/>
                <w:color w:val="000000"/>
                <w:kern w:val="0"/>
                <w:sz w:val="24"/>
                <w:lang w:eastAsia="zh-CN"/>
              </w:rPr>
              <w:t>自治区、呼和浩特市</w:t>
            </w:r>
            <w:r>
              <w:rPr>
                <w:rFonts w:hint="eastAsia" w:ascii="宋体" w:hAnsi="宋体" w:eastAsia="宋体" w:cs="宋体"/>
                <w:color w:val="000000"/>
                <w:kern w:val="0"/>
                <w:sz w:val="24"/>
              </w:rPr>
              <w:t>医疗联动应急响应支援机制</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自治区卫生健康委</w:t>
            </w:r>
          </w:p>
        </w:tc>
      </w:tr>
      <w:tr>
        <w:tblPrEx>
          <w:tblLayout w:type="fixed"/>
          <w:tblCellMar>
            <w:top w:w="0" w:type="dxa"/>
            <w:left w:w="108" w:type="dxa"/>
            <w:bottom w:w="0" w:type="dxa"/>
            <w:right w:w="108" w:type="dxa"/>
          </w:tblCellMar>
        </w:tblPrEx>
        <w:trPr>
          <w:trHeight w:val="141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加快发展普惠性托育服务，支持完善养老服务体系，实现街道（乡镇）养老服务中心、社区（村）养老服务站全覆盖</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自治区民政厅</w:t>
            </w:r>
          </w:p>
        </w:tc>
      </w:tr>
      <w:tr>
        <w:tblPrEx>
          <w:tblLayout w:type="fixed"/>
          <w:tblCellMar>
            <w:top w:w="0" w:type="dxa"/>
            <w:left w:w="108" w:type="dxa"/>
            <w:bottom w:w="0" w:type="dxa"/>
            <w:right w:w="108" w:type="dxa"/>
          </w:tblCellMar>
        </w:tblPrEx>
        <w:trPr>
          <w:trHeight w:val="111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推动呼和浩特职业学院“双高”建设，获批本科院校，支持建设中职园区，支持驻呼高校建设附属中小学、幼儿园</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自治区教育厅</w:t>
            </w:r>
          </w:p>
        </w:tc>
      </w:tr>
      <w:tr>
        <w:tblPrEx>
          <w:tblLayout w:type="fixed"/>
          <w:tblCellMar>
            <w:top w:w="0" w:type="dxa"/>
            <w:left w:w="108" w:type="dxa"/>
            <w:bottom w:w="0" w:type="dxa"/>
            <w:right w:w="108" w:type="dxa"/>
          </w:tblCellMar>
        </w:tblPrEx>
        <w:trPr>
          <w:trHeight w:val="132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开展自治区社区治理创新实验区建设，实施“互联网+基层治理”行动，支持建立区市县乡村五级疫情防控网络，全面构建现代化社会市域治理体系，打造基层社会治理样板区</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自治区党委政法委</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民政厅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卫生健康委</w:t>
            </w:r>
          </w:p>
        </w:tc>
      </w:tr>
      <w:tr>
        <w:tblPrEx>
          <w:tblLayout w:type="fixed"/>
          <w:tblCellMar>
            <w:top w:w="0" w:type="dxa"/>
            <w:left w:w="108" w:type="dxa"/>
            <w:bottom w:w="0" w:type="dxa"/>
            <w:right w:w="108" w:type="dxa"/>
          </w:tblCellMar>
        </w:tblPrEx>
        <w:trPr>
          <w:trHeight w:val="127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充分发挥中</w:t>
            </w:r>
            <w:r>
              <w:rPr>
                <w:rFonts w:hint="eastAsia" w:ascii="宋体" w:hAnsi="宋体" w:eastAsia="宋体" w:cs="宋体"/>
                <w:color w:val="000000"/>
                <w:sz w:val="24"/>
                <w:lang w:eastAsia="zh-CN"/>
              </w:rPr>
              <w:t>国—</w:t>
            </w:r>
            <w:r>
              <w:rPr>
                <w:rFonts w:hint="eastAsia" w:ascii="宋体" w:hAnsi="宋体" w:eastAsia="宋体" w:cs="宋体"/>
                <w:color w:val="000000"/>
                <w:sz w:val="24"/>
              </w:rPr>
              <w:t>蒙</w:t>
            </w:r>
            <w:r>
              <w:rPr>
                <w:rFonts w:hint="eastAsia" w:ascii="宋体" w:hAnsi="宋体" w:eastAsia="宋体" w:cs="宋体"/>
                <w:color w:val="000000"/>
                <w:sz w:val="24"/>
                <w:lang w:eastAsia="zh-CN"/>
              </w:rPr>
              <w:t>古国</w:t>
            </w:r>
            <w:r>
              <w:rPr>
                <w:rFonts w:hint="eastAsia" w:ascii="宋体" w:hAnsi="宋体" w:eastAsia="宋体" w:cs="宋体"/>
                <w:color w:val="000000"/>
                <w:sz w:val="24"/>
              </w:rPr>
              <w:t>博览会永久会址平台效应，申请创办国家向北开放经贸洽谈会</w:t>
            </w:r>
            <w:r>
              <w:rPr>
                <w:rFonts w:hint="eastAsia" w:ascii="宋体" w:hAnsi="宋体" w:eastAsia="宋体" w:cs="宋体"/>
                <w:color w:val="000000"/>
                <w:sz w:val="24"/>
                <w:lang w:eastAsia="zh-CN"/>
              </w:rPr>
              <w:t>，</w:t>
            </w:r>
            <w:r>
              <w:rPr>
                <w:rFonts w:hint="eastAsia" w:ascii="宋体" w:hAnsi="宋体" w:eastAsia="宋体" w:cs="宋体"/>
                <w:color w:val="000000"/>
                <w:kern w:val="0"/>
                <w:sz w:val="24"/>
              </w:rPr>
              <w:t>支持探索创建自</w:t>
            </w:r>
            <w:r>
              <w:rPr>
                <w:rFonts w:hint="eastAsia" w:ascii="宋体" w:hAnsi="宋体" w:eastAsia="宋体" w:cs="宋体"/>
                <w:color w:val="000000"/>
                <w:spacing w:val="-6"/>
                <w:kern w:val="0"/>
                <w:sz w:val="24"/>
              </w:rPr>
              <w:t>贸区方法路径，推动建设呼和浩特跨境电子商务综合试验区、综合保税区等开放平台载体</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自治区商务厅</w:t>
            </w:r>
          </w:p>
        </w:tc>
      </w:tr>
      <w:tr>
        <w:tblPrEx>
          <w:tblLayout w:type="fixed"/>
          <w:tblCellMar>
            <w:top w:w="0" w:type="dxa"/>
            <w:left w:w="108" w:type="dxa"/>
            <w:bottom w:w="0" w:type="dxa"/>
            <w:right w:w="108" w:type="dxa"/>
          </w:tblCellMar>
        </w:tblPrEx>
        <w:trPr>
          <w:trHeight w:val="9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推动京津冀地区国家级科研机构在呼和浩特市建立分支机构，打造候鸟式科研基地</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163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除法律、法规和国家明文规定不得下放的行政许可事项外，将自治区级行政许可事项依法依规委托或下放呼和浩特市实施，推动呼和浩特市在要素市场化配置、优化营商环境、全面深化改革、强化招商引资等重点领域先行先试</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kern w:val="0"/>
                <w:sz w:val="24"/>
              </w:rPr>
              <w:t>自治区政务服务局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商务厅</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市场监管局</w:t>
            </w:r>
          </w:p>
        </w:tc>
      </w:tr>
      <w:tr>
        <w:tblPrEx>
          <w:tblLayout w:type="fixed"/>
          <w:tblCellMar>
            <w:top w:w="0" w:type="dxa"/>
            <w:left w:w="108" w:type="dxa"/>
            <w:bottom w:w="0" w:type="dxa"/>
            <w:right w:w="108" w:type="dxa"/>
          </w:tblCellMar>
        </w:tblPrEx>
        <w:trPr>
          <w:trHeight w:val="62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sz w:val="24"/>
              </w:rPr>
              <w:t>支持高标准打造和林格尔人才科创中心</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自治区党委组织部</w:t>
            </w:r>
            <w:r>
              <w:rPr>
                <w:rFonts w:hint="eastAsia" w:ascii="宋体" w:hAnsi="宋体" w:eastAsia="宋体" w:cs="宋体"/>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kern w:val="0"/>
                <w:sz w:val="24"/>
              </w:rPr>
              <w:t>科技厅</w:t>
            </w:r>
          </w:p>
        </w:tc>
      </w:tr>
      <w:tr>
        <w:tblPrEx>
          <w:tblLayout w:type="fixed"/>
          <w:tblCellMar>
            <w:top w:w="0" w:type="dxa"/>
            <w:left w:w="108" w:type="dxa"/>
            <w:bottom w:w="0" w:type="dxa"/>
            <w:right w:w="108" w:type="dxa"/>
          </w:tblCellMar>
        </w:tblPrEx>
        <w:trPr>
          <w:trHeight w:val="71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49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sz w:val="24"/>
              </w:rPr>
              <w:t>开展高新技术企业“审核权限下放”试点，支持区内外高校、科研院所、企业建设新型研发机构</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自治区科技厅</w:t>
            </w:r>
          </w:p>
        </w:tc>
      </w:tr>
      <w:tr>
        <w:tblPrEx>
          <w:tblLayout w:type="fixed"/>
          <w:tblCellMar>
            <w:top w:w="0" w:type="dxa"/>
            <w:left w:w="108" w:type="dxa"/>
            <w:bottom w:w="0" w:type="dxa"/>
            <w:right w:w="108" w:type="dxa"/>
          </w:tblCellMar>
        </w:tblPrEx>
        <w:trPr>
          <w:trHeight w:val="77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完善驻呼高校与呼和浩特市开展校地合作机制，支持科研成果就地转化</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spacing w:val="-11"/>
                <w:kern w:val="0"/>
                <w:sz w:val="24"/>
              </w:rPr>
              <w:t>自治区教育厅</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pacing w:val="-11"/>
                <w:kern w:val="0"/>
                <w:sz w:val="24"/>
              </w:rPr>
              <w:t>科技厅</w:t>
            </w:r>
          </w:p>
        </w:tc>
      </w:tr>
      <w:tr>
        <w:tblPrEx>
          <w:tblLayout w:type="fixed"/>
          <w:tblCellMar>
            <w:top w:w="0" w:type="dxa"/>
            <w:left w:w="108" w:type="dxa"/>
            <w:bottom w:w="0" w:type="dxa"/>
            <w:right w:w="108" w:type="dxa"/>
          </w:tblCellMar>
        </w:tblPrEx>
        <w:trPr>
          <w:trHeight w:val="80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51</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鼓励驻呼高校科研人员在呼和浩特市兼职创业、在职创办企业</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自治区教育厅</w:t>
            </w:r>
          </w:p>
        </w:tc>
      </w:tr>
      <w:tr>
        <w:tblPrEx>
          <w:tblLayout w:type="fixed"/>
          <w:tblCellMar>
            <w:top w:w="0" w:type="dxa"/>
            <w:left w:w="108" w:type="dxa"/>
            <w:bottom w:w="0" w:type="dxa"/>
            <w:right w:w="108" w:type="dxa"/>
          </w:tblCellMar>
        </w:tblPrEx>
        <w:trPr>
          <w:trHeight w:val="100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52</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推进“一心多点”“强心活点”建设，健全人才工作机制，完善引才引智政策，支持呼和浩特市多渠道从区外引进优秀干部和人才</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自治区党委组织部</w:t>
            </w:r>
            <w:r>
              <w:rPr>
                <w:rFonts w:hint="eastAsia" w:ascii="宋体" w:hAnsi="宋体" w:eastAsia="宋体" w:cs="宋体"/>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rPr>
            </w:pPr>
            <w:r>
              <w:rPr>
                <w:rFonts w:hint="eastAsia" w:ascii="宋体" w:hAnsi="宋体" w:eastAsia="宋体" w:cs="宋体"/>
                <w:color w:val="000000"/>
                <w:spacing w:val="-11"/>
                <w:kern w:val="0"/>
                <w:sz w:val="24"/>
              </w:rPr>
              <w:t>人</w:t>
            </w:r>
            <w:r>
              <w:rPr>
                <w:rFonts w:hint="eastAsia" w:ascii="宋体" w:hAnsi="宋体" w:eastAsia="宋体" w:cs="宋体"/>
                <w:color w:val="000000"/>
                <w:spacing w:val="-11"/>
                <w:kern w:val="0"/>
                <w:sz w:val="24"/>
                <w:lang w:eastAsia="zh-CN"/>
              </w:rPr>
              <w:t>力资源社会保障</w:t>
            </w:r>
            <w:r>
              <w:rPr>
                <w:rFonts w:hint="eastAsia" w:ascii="宋体" w:hAnsi="宋体" w:eastAsia="宋体" w:cs="宋体"/>
                <w:color w:val="000000"/>
                <w:spacing w:val="-11"/>
                <w:kern w:val="0"/>
                <w:sz w:val="24"/>
              </w:rPr>
              <w:t>厅</w:t>
            </w:r>
          </w:p>
        </w:tc>
      </w:tr>
      <w:tr>
        <w:tblPrEx>
          <w:tblLayout w:type="fixed"/>
          <w:tblCellMar>
            <w:top w:w="0" w:type="dxa"/>
            <w:left w:w="108" w:type="dxa"/>
            <w:bottom w:w="0" w:type="dxa"/>
            <w:right w:w="108" w:type="dxa"/>
          </w:tblCellMar>
        </w:tblPrEx>
        <w:trPr>
          <w:trHeight w:val="768"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53</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加强保障性租赁住房建设，解决新市民群体阶段性住房问题</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自治区住房城乡建设厅</w:t>
            </w:r>
          </w:p>
        </w:tc>
      </w:tr>
      <w:tr>
        <w:tblPrEx>
          <w:tblLayout w:type="fixed"/>
          <w:tblCellMar>
            <w:top w:w="0" w:type="dxa"/>
            <w:left w:w="108" w:type="dxa"/>
            <w:bottom w:w="0" w:type="dxa"/>
            <w:right w:w="108" w:type="dxa"/>
          </w:tblCellMar>
        </w:tblPrEx>
        <w:trPr>
          <w:trHeight w:val="26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54</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建立“土地要素跟着项目走”保障机制，在自治区国土空间总体规划中统筹安排呼和浩特市耕地保有量和永久基本农田保护面积，倾斜安排新增建设用地规模，对区市两级重大建设项目用地需求实行应保尽保。将呼和浩特市除中心城区外，以批次用地方式报批的土地征收和转用审核工作委托呼和浩特市人民政府实施，</w:t>
            </w:r>
            <w:r>
              <w:rPr>
                <w:rFonts w:hint="eastAsia" w:ascii="宋体" w:hAnsi="宋体" w:eastAsia="宋体" w:cs="宋体"/>
                <w:color w:val="000000"/>
                <w:kern w:val="0"/>
                <w:sz w:val="24"/>
                <w:lang w:eastAsia="zh-CN"/>
              </w:rPr>
              <w:t>自治区</w:t>
            </w:r>
            <w:r>
              <w:rPr>
                <w:rFonts w:hint="eastAsia" w:ascii="宋体" w:hAnsi="宋体" w:eastAsia="宋体" w:cs="宋体"/>
                <w:color w:val="000000"/>
                <w:kern w:val="0"/>
                <w:sz w:val="24"/>
              </w:rPr>
              <w:t>自然资源厅备案</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自治区自然资源厅</w:t>
            </w:r>
          </w:p>
        </w:tc>
      </w:tr>
      <w:tr>
        <w:tblPrEx>
          <w:tblLayout w:type="fixed"/>
          <w:tblCellMar>
            <w:top w:w="0" w:type="dxa"/>
            <w:left w:w="108" w:type="dxa"/>
            <w:bottom w:w="0" w:type="dxa"/>
            <w:right w:w="108" w:type="dxa"/>
          </w:tblCellMar>
        </w:tblPrEx>
        <w:trPr>
          <w:trHeight w:val="199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55</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推动呼和浩特抽水蓄能电站二期、清水河抽水蓄能电站纳入国家规划并加快项目实施</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实施</w:t>
            </w:r>
            <w:r>
              <w:rPr>
                <w:rFonts w:hint="eastAsia" w:ascii="宋体" w:hAnsi="宋体" w:eastAsia="宋体" w:cs="宋体"/>
                <w:color w:val="000000"/>
                <w:kern w:val="0"/>
                <w:sz w:val="24"/>
              </w:rPr>
              <w:t>金山热电厂三期扩建项目</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支持呼和浩特市新增用电负荷在周边盟市选址建设新能源项目，支持将呼和浩特市大数据及关联产业所需能耗指标优先纳入国家和自治区能耗单列范围</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自治区能源局</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发展改革委</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p>
        </w:tc>
      </w:tr>
      <w:tr>
        <w:tblPrEx>
          <w:tblLayout w:type="fixed"/>
          <w:tblCellMar>
            <w:top w:w="0" w:type="dxa"/>
            <w:left w:w="108" w:type="dxa"/>
            <w:bottom w:w="0" w:type="dxa"/>
            <w:right w:w="108" w:type="dxa"/>
          </w:tblCellMar>
        </w:tblPrEx>
        <w:trPr>
          <w:trHeight w:val="141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56</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kern w:val="0"/>
                <w:sz w:val="24"/>
              </w:rPr>
            </w:pPr>
            <w:r>
              <w:rPr>
                <w:rFonts w:hint="eastAsia" w:ascii="宋体" w:hAnsi="宋体" w:eastAsia="宋体" w:cs="宋体"/>
                <w:color w:val="000000"/>
                <w:kern w:val="0"/>
                <w:sz w:val="24"/>
              </w:rPr>
              <w:t>建立“钱随人走”挂钩机制，完善转移支付办法，将新增常住人口作为转移支付的分配因素，增强呼和浩特市教育、卫生、公共安全和社会保障等基本公共服务的财政保障能力</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876"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57</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kern w:val="0"/>
                <w:sz w:val="24"/>
              </w:rPr>
              <w:t>今后</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年每年新增财力性补助资金30亿元，用于加强和改善城市基础设施</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852"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58</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支持防范化解债务风险，降低债务风险水平，加大地方政府债券支持力度</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自治区财政厅</w:t>
            </w:r>
          </w:p>
        </w:tc>
      </w:tr>
      <w:tr>
        <w:tblPrEx>
          <w:tblLayout w:type="fixed"/>
          <w:tblCellMar>
            <w:top w:w="0" w:type="dxa"/>
            <w:left w:w="108" w:type="dxa"/>
            <w:bottom w:w="0" w:type="dxa"/>
            <w:right w:w="108" w:type="dxa"/>
          </w:tblCellMar>
        </w:tblPrEx>
        <w:trPr>
          <w:trHeight w:val="483"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59</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sz w:val="24"/>
              </w:rPr>
            </w:pPr>
            <w:r>
              <w:rPr>
                <w:rFonts w:hint="eastAsia" w:ascii="宋体" w:hAnsi="宋体" w:eastAsia="宋体" w:cs="宋体"/>
                <w:color w:val="000000"/>
                <w:sz w:val="24"/>
              </w:rPr>
              <w:t>引导自治区级国有资本优先在首府布局</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sz w:val="24"/>
              </w:rPr>
            </w:pPr>
            <w:r>
              <w:rPr>
                <w:rFonts w:hint="eastAsia" w:ascii="宋体" w:hAnsi="宋体" w:eastAsia="宋体" w:cs="宋体"/>
                <w:color w:val="000000"/>
                <w:sz w:val="24"/>
              </w:rPr>
              <w:t>自治区国资委</w:t>
            </w:r>
          </w:p>
        </w:tc>
      </w:tr>
      <w:tr>
        <w:tblPrEx>
          <w:tblLayout w:type="fixed"/>
          <w:tblCellMar>
            <w:top w:w="0" w:type="dxa"/>
            <w:left w:w="108" w:type="dxa"/>
            <w:bottom w:w="0" w:type="dxa"/>
            <w:right w:w="108" w:type="dxa"/>
          </w:tblCellMar>
        </w:tblPrEx>
        <w:trPr>
          <w:trHeight w:val="103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sz w:val="24"/>
              </w:rPr>
            </w:pPr>
            <w:r>
              <w:rPr>
                <w:rFonts w:hint="eastAsia" w:ascii="宋体" w:hAnsi="宋体" w:eastAsia="宋体" w:cs="宋体"/>
                <w:color w:val="000000"/>
                <w:sz w:val="24"/>
              </w:rPr>
              <w:t>60</w:t>
            </w:r>
          </w:p>
        </w:tc>
        <w:tc>
          <w:tcPr>
            <w:tcW w:w="57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进一步发挥金融服务保障功能，引导驻区金融机构积极支持首府六大产业集群、重大项目建设和企业融资需求，</w:t>
            </w:r>
            <w:r>
              <w:rPr>
                <w:rFonts w:hint="eastAsia" w:ascii="宋体" w:hAnsi="宋体" w:eastAsia="宋体" w:cs="宋体"/>
                <w:color w:val="000000"/>
                <w:kern w:val="0"/>
                <w:sz w:val="24"/>
              </w:rPr>
              <w:t>支持企业境内外上市</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000000"/>
                <w:sz w:val="24"/>
              </w:rPr>
            </w:pPr>
            <w:r>
              <w:rPr>
                <w:rFonts w:hint="eastAsia" w:ascii="宋体" w:hAnsi="宋体" w:eastAsia="宋体" w:cs="宋体"/>
                <w:color w:val="000000"/>
                <w:spacing w:val="-11"/>
                <w:kern w:val="0"/>
                <w:sz w:val="24"/>
              </w:rPr>
              <w:t>自治区地方金融监管局</w:t>
            </w:r>
            <w:r>
              <w:rPr>
                <w:rFonts w:hint="eastAsia" w:ascii="宋体" w:hAnsi="宋体" w:eastAsia="宋体" w:cs="宋体"/>
                <w:color w:val="000000"/>
                <w:spacing w:val="-11"/>
                <w:kern w:val="0"/>
                <w:sz w:val="24"/>
                <w:lang w:eastAsia="zh-CN"/>
              </w:rPr>
              <w:t>、</w:t>
            </w:r>
            <w:r>
              <w:rPr>
                <w:rFonts w:hint="eastAsia" w:ascii="宋体" w:hAnsi="宋体" w:eastAsia="宋体" w:cs="宋体"/>
                <w:color w:val="000000"/>
                <w:sz w:val="24"/>
              </w:rPr>
              <w:t>内蒙古证监局</w:t>
            </w:r>
          </w:p>
        </w:tc>
      </w:tr>
      <w:tr>
        <w:tblPrEx>
          <w:tblLayout w:type="fixed"/>
          <w:tblCellMar>
            <w:top w:w="0" w:type="dxa"/>
            <w:left w:w="108" w:type="dxa"/>
            <w:bottom w:w="0" w:type="dxa"/>
            <w:right w:w="108" w:type="dxa"/>
          </w:tblCellMar>
        </w:tblPrEx>
        <w:trPr>
          <w:trHeight w:val="701" w:hRule="atLeast"/>
          <w:jc w:val="center"/>
        </w:trPr>
        <w:tc>
          <w:tcPr>
            <w:tcW w:w="8835" w:type="dxa"/>
            <w:gridSpan w:val="3"/>
            <w:tcBorders>
              <w:top w:val="single" w:color="auto" w:sz="4"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color w:val="000000"/>
                <w:sz w:val="24"/>
              </w:rPr>
            </w:pPr>
            <w:r>
              <w:rPr>
                <w:rFonts w:hint="eastAsia" w:ascii="黑体" w:hAnsi="黑体" w:eastAsia="黑体" w:cs="黑体"/>
                <w:color w:val="000000"/>
                <w:sz w:val="24"/>
              </w:rPr>
              <w:t>说明</w:t>
            </w:r>
            <w:r>
              <w:rPr>
                <w:rFonts w:hint="eastAsia" w:ascii="宋体" w:hAnsi="宋体" w:eastAsia="宋体" w:cs="宋体"/>
                <w:color w:val="000000"/>
                <w:sz w:val="24"/>
              </w:rPr>
              <w:t>：</w:t>
            </w:r>
            <w:r>
              <w:rPr>
                <w:rFonts w:hint="eastAsia" w:ascii="楷体" w:hAnsi="楷体" w:eastAsia="楷体" w:cs="楷体"/>
                <w:color w:val="000000"/>
                <w:sz w:val="24"/>
              </w:rPr>
              <w:t>因每项任务均涉及呼和浩特市，在责任单位中未单独列出。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0557E"/>
    <w:rsid w:val="0780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lang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2023-01-19T02:53:00Z</dcterms:created>
  <dc:creator>zwfw</dc:creator>
  <cp:lastModifiedBy>zwfw</cp:lastModifiedBy>
  <dcterms:modified xsi:type="dcterms:W3CDTF">2023-01-19T02:54:00Z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