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color w:val="auto"/>
        </w:rPr>
      </w:pPr>
      <w:r>
        <w:rPr>
          <w:rFonts w:hint="eastAsia" w:ascii="黑体" w:hAnsi="黑体" w:eastAsia="黑体" w:cs="黑体"/>
          <w:color w:val="auto"/>
          <w:sz w:val="32"/>
          <w:szCs w:val="32"/>
        </w:rPr>
        <w:t>附件3</w:t>
      </w:r>
    </w:p>
    <w:p>
      <w:pPr>
        <w:spacing w:line="600" w:lineRule="exact"/>
        <w:jc w:val="center"/>
        <w:rPr>
          <w:rFonts w:ascii="方正小标宋简体" w:hAnsi="方正小标宋简体" w:eastAsia="方正小标宋简体" w:cs="方正小标宋简体"/>
          <w:color w:val="auto"/>
          <w:spacing w:val="10"/>
          <w:sz w:val="44"/>
          <w:szCs w:val="44"/>
        </w:rPr>
      </w:pPr>
      <w:bookmarkStart w:id="0" w:name="_GoBack"/>
      <w:r>
        <w:rPr>
          <w:rFonts w:hint="eastAsia" w:ascii="方正小标宋简体" w:hAnsi="方正小标宋简体" w:eastAsia="方正小标宋简体" w:cs="方正小标宋简体"/>
          <w:color w:val="auto"/>
          <w:spacing w:val="10"/>
          <w:sz w:val="44"/>
          <w:szCs w:val="44"/>
        </w:rPr>
        <w:t>内蒙古自治区国防动员行政检查裁量权基准</w:t>
      </w:r>
    </w:p>
    <w:bookmarkEnd w:id="0"/>
    <w:tbl>
      <w:tblPr>
        <w:tblStyle w:val="10"/>
        <w:tblW w:w="13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25"/>
        <w:gridCol w:w="845"/>
        <w:gridCol w:w="3001"/>
        <w:gridCol w:w="4688"/>
        <w:gridCol w:w="1061"/>
        <w:gridCol w:w="94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10"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序号</w:t>
            </w:r>
          </w:p>
        </w:tc>
        <w:tc>
          <w:tcPr>
            <w:tcW w:w="825"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事项名称</w:t>
            </w:r>
          </w:p>
        </w:tc>
        <w:tc>
          <w:tcPr>
            <w:tcW w:w="845"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检查主体</w:t>
            </w:r>
          </w:p>
        </w:tc>
        <w:tc>
          <w:tcPr>
            <w:tcW w:w="3001"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检查内容</w:t>
            </w:r>
          </w:p>
        </w:tc>
        <w:tc>
          <w:tcPr>
            <w:tcW w:w="4688"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检查依据</w:t>
            </w:r>
          </w:p>
        </w:tc>
        <w:tc>
          <w:tcPr>
            <w:tcW w:w="1061"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w:t>
            </w:r>
          </w:p>
          <w:p>
            <w:pPr>
              <w:jc w:val="center"/>
              <w:rPr>
                <w:rFonts w:ascii="宋体" w:hAnsi="宋体" w:cs="宋体"/>
                <w:color w:val="auto"/>
                <w:spacing w:val="10"/>
                <w:szCs w:val="21"/>
              </w:rPr>
            </w:pPr>
            <w:r>
              <w:rPr>
                <w:rFonts w:hint="eastAsia" w:ascii="宋体" w:hAnsi="宋体" w:cs="宋体"/>
                <w:color w:val="auto"/>
                <w:spacing w:val="10"/>
                <w:szCs w:val="21"/>
              </w:rPr>
              <w:t>范围</w:t>
            </w:r>
          </w:p>
        </w:tc>
        <w:tc>
          <w:tcPr>
            <w:tcW w:w="947"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检查方式</w:t>
            </w:r>
          </w:p>
        </w:tc>
        <w:tc>
          <w:tcPr>
            <w:tcW w:w="1377" w:type="dxa"/>
            <w:noWrap w:val="0"/>
            <w:vAlign w:val="center"/>
          </w:tcPr>
          <w:p>
            <w:pPr>
              <w:jc w:val="center"/>
              <w:rPr>
                <w:rFonts w:ascii="宋体" w:hAnsi="宋体" w:cs="宋体"/>
                <w:color w:val="auto"/>
                <w:spacing w:val="10"/>
                <w:szCs w:val="21"/>
              </w:rPr>
            </w:pPr>
            <w:r>
              <w:rPr>
                <w:rFonts w:hint="eastAsia" w:ascii="宋体" w:hAnsi="宋体" w:cs="宋体"/>
                <w:color w:val="auto"/>
                <w:spacing w:val="10"/>
                <w:szCs w:val="21"/>
              </w:rPr>
              <w:t>检查</w:t>
            </w:r>
          </w:p>
          <w:p>
            <w:pPr>
              <w:jc w:val="center"/>
              <w:rPr>
                <w:rFonts w:ascii="宋体" w:hAnsi="宋体" w:cs="宋体"/>
                <w:color w:val="auto"/>
                <w:spacing w:val="10"/>
                <w:szCs w:val="21"/>
              </w:rPr>
            </w:pPr>
            <w:r>
              <w:rPr>
                <w:rFonts w:hint="eastAsia" w:ascii="宋体" w:hAnsi="宋体" w:cs="宋体"/>
                <w:color w:val="auto"/>
                <w:spacing w:val="10"/>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1" w:hRule="atLeast"/>
          <w:jc w:val="center"/>
        </w:trPr>
        <w:tc>
          <w:tcPr>
            <w:tcW w:w="510" w:type="dxa"/>
            <w:noWrap w:val="0"/>
            <w:vAlign w:val="center"/>
          </w:tcPr>
          <w:p>
            <w:pPr>
              <w:jc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1</w:t>
            </w:r>
          </w:p>
        </w:tc>
        <w:tc>
          <w:tcPr>
            <w:tcW w:w="825"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对人民防空工程质量监督检查</w:t>
            </w:r>
          </w:p>
          <w:p>
            <w:pPr>
              <w:pStyle w:val="7"/>
              <w:ind w:left="780" w:hanging="360"/>
              <w:rPr>
                <w:rFonts w:ascii="仿宋_GB2312" w:hAnsi="仿宋_GB2312" w:eastAsia="仿宋_GB2312" w:cs="仿宋_GB2312"/>
                <w:color w:val="auto"/>
                <w:sz w:val="18"/>
                <w:szCs w:val="18"/>
              </w:rPr>
            </w:pPr>
          </w:p>
        </w:tc>
        <w:tc>
          <w:tcPr>
            <w:tcW w:w="845"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自治区级、盟市级、旗县级国防动员办公室（人民防空办公室）</w:t>
            </w:r>
          </w:p>
        </w:tc>
        <w:tc>
          <w:tcPr>
            <w:tcW w:w="300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1.检查建设单位办理人防审批手续许可文件。</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2.检查建设单位办理人民工程质量监督登记手续情况。</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3.检查图纸会审记录和设计交底记录，重要变更检查变更审批手续。</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4.核实现场参建单位人员情况，检查参建单位技术相关资料与质量问题整改记录等。</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5.检查防护设备选型是否符合国家标准，是否与施工图设计文件一致，查看防护设备安装施工记录，与现场情况是否一致。</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6.检查建设单位组织人防工程竣工验收的有关资料文件。</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7.人防工程竣工验收后，建设单位移交有关资料的检查。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8.检查建设单位整改情况，整改不合格的，检查缴纳防空地下室易地建设费缴纳凭证。</w:t>
            </w:r>
          </w:p>
        </w:tc>
        <w:tc>
          <w:tcPr>
            <w:tcW w:w="4688"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【法律】《中华人民共和国人民防空法》第十七条 人民防空主管部门应当依照规定对城市和经济目标的人民防空建设进行监督检查。被检查单位应当如实提供情况和必要的资料。</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【地方性法规】《内蒙古自治区实施&lt;中华人民共和国人民防空法&gt;办法》第十四条 公用的人民防空工程的建设、使用、维护、管理，由人民防空主管部门负责；有关单位的人民防空工程的建设，由人民防空主管部门监督、检查、指导，平时由有关单位使用、维护、管理，战时由人民防空主管部门使用管理。</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第十五条 人民防空工程的设计和施工，应当符合国家规定的防护标准和质量标准。</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人民防空工程的防护设备应当符合国家规定的标准。</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人民防空主管部门对结合地面建筑修建的战时可用于防空的地下室的建设，实施技术指导。</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人民防空工程档案，按照国家和自治区有关规定管理。</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【地方政府规章】</w:t>
            </w:r>
            <w:r>
              <w:rPr>
                <w:rFonts w:hint="eastAsia" w:ascii="仿宋_GB2312" w:hAnsi="仿宋_GB2312" w:eastAsia="仿宋_GB2312" w:cs="仿宋_GB2312"/>
                <w:color w:val="auto"/>
                <w:spacing w:val="10"/>
                <w:sz w:val="18"/>
                <w:szCs w:val="18"/>
              </w:rPr>
              <w:t>《内蒙古自治区人民防空工程建设管理规定》(内蒙古自治区人民政府令第 190 号)第二十二条 旗县级以上人民政府人民防空主管部门负责防空地下室防护方面质量监督管理。防空地下室防护质量监督，由具有人民防空工程质量监督资质的机构实施。</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第二十三条 建设单位在防空地下室开工前，应当向人民防空工程质量监督机构申请办理防空地下室防护方面质量监督手续。</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第二十四条 防空地下室竣工验收，应当与地面建筑验收同期进行。建设单位组织工程竣工验收时，人民防空工程质量监督机构应当参加并出具防护方面质量监督报告。</w:t>
            </w:r>
          </w:p>
          <w:p>
            <w:pPr>
              <w:ind w:firstLine="40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0"/>
                <w:sz w:val="18"/>
                <w:szCs w:val="18"/>
              </w:rPr>
              <w:t>第二十五条 人民防空工程竣工验收实行备案制度。建设单位向建设主管部门备案时，应当提供人民防空主管部门出具的防空地下室防护方面的质量监督报告。</w:t>
            </w:r>
          </w:p>
        </w:tc>
        <w:tc>
          <w:tcPr>
            <w:tcW w:w="106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行政区域内经人民防空主管部门备案或登记的各类人民防空工程，以及与工程配套的附属设施</w:t>
            </w:r>
          </w:p>
        </w:tc>
        <w:tc>
          <w:tcPr>
            <w:tcW w:w="947" w:type="dxa"/>
            <w:noWrap w:val="0"/>
            <w:vAlign w:val="center"/>
          </w:tcPr>
          <w:p>
            <w:pPr>
              <w:rPr>
                <w:rFonts w:ascii="仿宋_GB2312" w:hAnsi="仿宋_GB2312" w:eastAsia="仿宋_GB2312" w:cs="仿宋_GB2312"/>
                <w:color w:val="auto"/>
                <w:spacing w:val="10"/>
                <w:sz w:val="18"/>
                <w:szCs w:val="18"/>
              </w:rPr>
            </w:pPr>
          </w:p>
          <w:p>
            <w:pPr>
              <w:pStyle w:val="15"/>
              <w:autoSpaceDE w:val="0"/>
              <w:autoSpaceDN w:val="0"/>
              <w:adjustRightInd w:val="0"/>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rPr>
              <w:t>1.</w:t>
            </w:r>
            <w:r>
              <w:rPr>
                <w:rFonts w:hint="eastAsia" w:ascii="仿宋_GB2312" w:hAnsi="仿宋_GB2312" w:eastAsia="仿宋_GB2312" w:cs="仿宋_GB2312"/>
                <w:color w:val="auto"/>
                <w:sz w:val="18"/>
                <w:szCs w:val="18"/>
              </w:rPr>
              <w:t>通过综合检查、日常检查、专项检查等多种方式对人防工程进行质量监督检查。</w:t>
            </w:r>
          </w:p>
          <w:p>
            <w:pPr>
              <w:pStyle w:val="15"/>
              <w:autoSpaceDE w:val="0"/>
              <w:autoSpaceDN w:val="0"/>
              <w:adjustRightInd w:val="0"/>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rPr>
              <w:t>2.</w:t>
            </w:r>
            <w:r>
              <w:rPr>
                <w:rFonts w:hint="eastAsia" w:ascii="仿宋_GB2312" w:hAnsi="仿宋_GB2312" w:eastAsia="仿宋_GB2312" w:cs="仿宋_GB2312"/>
                <w:color w:val="auto"/>
                <w:sz w:val="18"/>
                <w:szCs w:val="18"/>
              </w:rPr>
              <w:t>通过实地检查、查阅台账、听取汇报、座谈交流等途径对人防工程质量监督工作情况进行监督检查。</w:t>
            </w:r>
          </w:p>
          <w:p>
            <w:pPr>
              <w:rPr>
                <w:rFonts w:ascii="仿宋_GB2312" w:hAnsi="仿宋_GB2312" w:eastAsia="仿宋_GB2312" w:cs="仿宋_GB2312"/>
                <w:color w:val="auto"/>
                <w:spacing w:val="10"/>
                <w:sz w:val="18"/>
                <w:szCs w:val="18"/>
              </w:rPr>
            </w:pPr>
          </w:p>
        </w:tc>
        <w:tc>
          <w:tcPr>
            <w:tcW w:w="1377" w:type="dxa"/>
            <w:noWrap w:val="0"/>
            <w:vAlign w:val="center"/>
          </w:tcPr>
          <w:p>
            <w:pPr>
              <w:rPr>
                <w:rFonts w:ascii="仿宋_GB2312" w:hAnsi="仿宋_GB2312" w:eastAsia="仿宋_GB2312" w:cs="仿宋_GB2312"/>
                <w:color w:val="auto"/>
                <w:spacing w:val="10"/>
                <w:sz w:val="18"/>
                <w:szCs w:val="18"/>
                <w:lang w:val="en"/>
              </w:rPr>
            </w:pPr>
            <w:r>
              <w:rPr>
                <w:rFonts w:hint="eastAsia" w:ascii="仿宋_GB2312" w:hAnsi="仿宋_GB2312" w:eastAsia="仿宋_GB2312" w:cs="仿宋_GB2312"/>
                <w:color w:val="auto"/>
                <w:spacing w:val="10"/>
                <w:sz w:val="18"/>
                <w:szCs w:val="18"/>
              </w:rPr>
              <w:t>自治区级、盟市级、旗县级国防动员办公室（人民防空办公室）</w:t>
            </w:r>
            <w:r>
              <w:rPr>
                <w:rFonts w:hint="eastAsia" w:ascii="仿宋_GB2312" w:hAnsi="仿宋_GB2312" w:eastAsia="仿宋_GB2312" w:cs="仿宋_GB2312"/>
                <w:color w:val="auto"/>
                <w:spacing w:val="10"/>
                <w:sz w:val="18"/>
                <w:szCs w:val="18"/>
                <w:lang w:val="en"/>
              </w:rPr>
              <w:t>根据工作实际，自行确定抽查比例、频次。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3" w:hRule="atLeast"/>
          <w:jc w:val="center"/>
        </w:trPr>
        <w:tc>
          <w:tcPr>
            <w:tcW w:w="510" w:type="dxa"/>
            <w:noWrap w:val="0"/>
            <w:vAlign w:val="center"/>
          </w:tcPr>
          <w:p>
            <w:pPr>
              <w:jc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2</w:t>
            </w:r>
          </w:p>
        </w:tc>
        <w:tc>
          <w:tcPr>
            <w:tcW w:w="825" w:type="dxa"/>
            <w:noWrap w:val="0"/>
            <w:vAlign w:val="center"/>
          </w:tcPr>
          <w:p>
            <w:pPr>
              <w:widowControl/>
              <w:textAlignment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kern w:val="0"/>
                <w:sz w:val="18"/>
                <w:szCs w:val="18"/>
                <w:lang w:bidi="ar"/>
              </w:rPr>
              <w:t>对重要目标防护建设管理落实情况的行政监督检查</w:t>
            </w:r>
          </w:p>
        </w:tc>
        <w:tc>
          <w:tcPr>
            <w:tcW w:w="845" w:type="dxa"/>
            <w:noWrap w:val="0"/>
            <w:vAlign w:val="center"/>
          </w:tcPr>
          <w:p>
            <w:pPr>
              <w:widowControl/>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spacing w:val="10"/>
                <w:sz w:val="18"/>
                <w:szCs w:val="18"/>
              </w:rPr>
              <w:t>自治区级、盟市级、旗县级国防动员办公室（人民防空办公室）</w:t>
            </w:r>
          </w:p>
        </w:tc>
        <w:tc>
          <w:tcPr>
            <w:tcW w:w="300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1.对重要目标单位防护救援方案制定情况的检查；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2.对防护救援方案中明确的防护措施落实情况的检查；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3.对重要目标单位组建防护专业队伍和开展训练演练活动情况的检查。</w:t>
            </w:r>
          </w:p>
        </w:tc>
        <w:tc>
          <w:tcPr>
            <w:tcW w:w="4688" w:type="dxa"/>
            <w:noWrap w:val="0"/>
            <w:vAlign w:val="center"/>
          </w:tcPr>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【法律】《中华人民共和国人民防空法》第十七条 人民防空主管部门应当依照规定对城市和经济目标的人民防空建设进行监督检查。被检查单位应当如实提供情况和必要的资料。</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【地方性法规】《内蒙古自治区重要经济目标防护管理条例》第八条  旗县级以上人民政府人民防空主管部门应当履行下列职责：</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（一）会同发展和改革部门、行业主管部门依据国民经济和社会发展规划、国土空间规划，编制重要经济目标防护建设总体规划；</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（二）会同行业主管部门指导、检查重要经济目标单位编制防护建设规划，制定防护方案，落实防护建设，组织应急支援，开展防护宣传、教育和防护专业队伍组建、训练演练等工作；</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（三）会同行业主管部门对新建重要经济目标和已建成的重要经济目标改建、扩建、维修的防护设施建设情况组织验收；</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（四）会同统计部门组织开展重要经济目标统计调查；</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（五）战时组织支援重要经济目标单位消除空袭后果行动；</w:t>
            </w:r>
          </w:p>
          <w:p>
            <w:pPr>
              <w:spacing w:line="28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（六）承办本级人民政府和同级军事机关交办的重要经济目标防护管理工作其他有关事项。</w:t>
            </w:r>
          </w:p>
        </w:tc>
        <w:tc>
          <w:tcPr>
            <w:tcW w:w="106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重要目标单位</w:t>
            </w:r>
          </w:p>
        </w:tc>
        <w:tc>
          <w:tcPr>
            <w:tcW w:w="94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1.通过综合检查、日常检查、专项检查等多种方式对重要目标防护工作情况进行监督检查。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 xml:space="preserve">2.加强与相关主管部门的沟通协调，开展联合检查，避免多头执法、执法扰民等现象。   </w:t>
            </w:r>
          </w:p>
        </w:tc>
        <w:tc>
          <w:tcPr>
            <w:tcW w:w="1377"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自治区级、盟市级、旗县级国防动员办公室（人民防空办公室）</w:t>
            </w:r>
            <w:r>
              <w:rPr>
                <w:rFonts w:hint="eastAsia" w:ascii="仿宋_GB2312" w:hAnsi="仿宋_GB2312" w:eastAsia="仿宋_GB2312" w:cs="仿宋_GB2312"/>
                <w:color w:val="auto"/>
                <w:spacing w:val="10"/>
                <w:sz w:val="18"/>
                <w:szCs w:val="18"/>
                <w:lang w:val="en"/>
              </w:rPr>
              <w:t>根据工作实际，自行确定抽查比例、频次。</w:t>
            </w:r>
            <w:r>
              <w:rPr>
                <w:rFonts w:hint="eastAsia" w:ascii="仿宋_GB2312" w:hAnsi="仿宋_GB2312" w:eastAsia="仿宋_GB2312" w:cs="仿宋_GB2312"/>
                <w:color w:val="auto"/>
                <w:sz w:val="18"/>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7" w:hRule="atLeast"/>
          <w:jc w:val="center"/>
        </w:trPr>
        <w:tc>
          <w:tcPr>
            <w:tcW w:w="510" w:type="dxa"/>
            <w:noWrap w:val="0"/>
            <w:vAlign w:val="center"/>
          </w:tcPr>
          <w:p>
            <w:pPr>
              <w:jc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3</w:t>
            </w:r>
          </w:p>
        </w:tc>
        <w:tc>
          <w:tcPr>
            <w:tcW w:w="825" w:type="dxa"/>
            <w:noWrap w:val="0"/>
            <w:vAlign w:val="center"/>
          </w:tcPr>
          <w:p>
            <w:pPr>
              <w:widowControl/>
              <w:textAlignment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kern w:val="0"/>
                <w:sz w:val="18"/>
                <w:szCs w:val="18"/>
                <w:lang w:bidi="ar"/>
              </w:rPr>
              <w:t>对人民防空工程平时使用维护管理、平战转换措施的落实情况进行监督检查</w:t>
            </w:r>
          </w:p>
        </w:tc>
        <w:tc>
          <w:tcPr>
            <w:tcW w:w="845" w:type="dxa"/>
            <w:noWrap w:val="0"/>
            <w:vAlign w:val="center"/>
          </w:tcPr>
          <w:p>
            <w:pPr>
              <w:widowControl/>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spacing w:val="10"/>
                <w:sz w:val="18"/>
                <w:szCs w:val="18"/>
              </w:rPr>
              <w:t>自治区级、盟市级、旗县级国防动员办公室（人民防空办公室）</w:t>
            </w:r>
          </w:p>
        </w:tc>
        <w:tc>
          <w:tcPr>
            <w:tcW w:w="3001" w:type="dxa"/>
            <w:noWrap w:val="0"/>
            <w:vAlign w:val="center"/>
          </w:tcPr>
          <w:p>
            <w:pPr>
              <w:pStyle w:val="15"/>
              <w:tabs>
                <w:tab w:val="left" w:pos="136"/>
              </w:tabs>
              <w:autoSpaceDE w:val="0"/>
              <w:autoSpaceDN w:val="0"/>
              <w:adjustRightInd w:val="0"/>
              <w:snapToGrid w:val="0"/>
              <w:spacing w:before="3"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1.人防工程维护管理、平战转换制度是否完善的检查。</w:t>
            </w:r>
          </w:p>
          <w:p>
            <w:pPr>
              <w:pStyle w:val="15"/>
              <w:autoSpaceDE w:val="0"/>
              <w:autoSpaceDN w:val="0"/>
              <w:adjustRightInd w:val="0"/>
              <w:snapToGrid w:val="0"/>
              <w:spacing w:before="3"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查看工程的岗位责任制度、定期检查和维修保养制度、消防管理制度、维修档案制度文件资料；</w:t>
            </w:r>
          </w:p>
          <w:p>
            <w:pPr>
              <w:pStyle w:val="15"/>
              <w:tabs>
                <w:tab w:val="left" w:pos="136"/>
              </w:tabs>
              <w:autoSpaceDE w:val="0"/>
              <w:autoSpaceDN w:val="0"/>
              <w:adjustRightInd w:val="0"/>
              <w:snapToGrid w:val="0"/>
              <w:spacing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2.人防工程维护保养是否达到规定标准的检查。</w:t>
            </w:r>
          </w:p>
          <w:p>
            <w:pPr>
              <w:pStyle w:val="15"/>
              <w:autoSpaceDE w:val="0"/>
              <w:autoSpaceDN w:val="0"/>
              <w:adjustRightInd w:val="0"/>
              <w:snapToGrid w:val="0"/>
              <w:spacing w:line="200" w:lineRule="exact"/>
              <w:ind w:left="18" w:right="2"/>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查看工程是否符合结构完好，工程内部整洁、无渗漏水，空气和饮用水符合国家有关卫生标准，防护密闭设备、设施性能良好，风、水、电、暖、通信、消防系统工作正常，金属、木质部件无锈蚀损坏；进出口道路畅通，孔口伪装及地面附属设施完好，防汛设施安全可靠的标准。</w:t>
            </w:r>
          </w:p>
          <w:p>
            <w:pPr>
              <w:pStyle w:val="15"/>
              <w:tabs>
                <w:tab w:val="left" w:pos="136"/>
              </w:tabs>
              <w:autoSpaceDE w:val="0"/>
              <w:autoSpaceDN w:val="0"/>
              <w:adjustRightInd w:val="0"/>
              <w:snapToGrid w:val="0"/>
              <w:spacing w:line="200" w:lineRule="exact"/>
              <w:ind w:left="17"/>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3.是否存在侵占人民防空工程，偷窃、故意损毁人民防空工程设备设施等影响人民防空工程使用或者降低人民防空工程防护效能行为的检查。</w:t>
            </w:r>
          </w:p>
          <w:p>
            <w:pPr>
              <w:pStyle w:val="15"/>
              <w:autoSpaceDE w:val="0"/>
              <w:autoSpaceDN w:val="0"/>
              <w:adjustRightInd w:val="0"/>
              <w:snapToGrid w:val="0"/>
              <w:spacing w:before="4"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查看工程是否被非法侵占，工程内部设备设施是否丢失、损毁等情况；</w:t>
            </w:r>
          </w:p>
          <w:p>
            <w:pPr>
              <w:pStyle w:val="15"/>
              <w:tabs>
                <w:tab w:val="left" w:pos="136"/>
              </w:tabs>
              <w:autoSpaceDE w:val="0"/>
              <w:autoSpaceDN w:val="0"/>
              <w:adjustRightInd w:val="0"/>
              <w:snapToGrid w:val="0"/>
              <w:spacing w:before="2"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4.是否存在未取得人民防空主管部门同意，在可能危及人民防空工程安全范围内埋设管道、修建地面设施行为的检查。</w:t>
            </w:r>
          </w:p>
          <w:p>
            <w:pPr>
              <w:pStyle w:val="15"/>
              <w:tabs>
                <w:tab w:val="left" w:pos="136"/>
              </w:tabs>
              <w:autoSpaceDE w:val="0"/>
              <w:autoSpaceDN w:val="0"/>
              <w:adjustRightInd w:val="0"/>
              <w:snapToGrid w:val="0"/>
              <w:spacing w:before="2" w:line="200" w:lineRule="exact"/>
              <w:ind w:left="18" w:right="1"/>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查看建设单位是否具有行政审批部门或人民防空主管部门同意建设的许可文件；</w:t>
            </w:r>
          </w:p>
          <w:p>
            <w:pPr>
              <w:pStyle w:val="15"/>
              <w:tabs>
                <w:tab w:val="left" w:pos="136"/>
              </w:tabs>
              <w:autoSpaceDE w:val="0"/>
              <w:autoSpaceDN w:val="0"/>
              <w:adjustRightInd w:val="0"/>
              <w:snapToGrid w:val="0"/>
              <w:spacing w:line="200" w:lineRule="exact"/>
              <w:ind w:left="17"/>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5.是否按规定办理人防工程拆除改造审批手续的检查。</w:t>
            </w:r>
          </w:p>
          <w:p>
            <w:pPr>
              <w:pStyle w:val="15"/>
              <w:tabs>
                <w:tab w:val="left" w:pos="136"/>
              </w:tabs>
              <w:autoSpaceDE w:val="0"/>
              <w:autoSpaceDN w:val="0"/>
              <w:adjustRightInd w:val="0"/>
              <w:snapToGrid w:val="0"/>
              <w:spacing w:line="200" w:lineRule="exact"/>
              <w:ind w:left="17"/>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查看建设单位是否具有行政审批部门或人民防空主管部门同意建设的许可文件；</w:t>
            </w:r>
          </w:p>
          <w:p>
            <w:pPr>
              <w:pStyle w:val="15"/>
              <w:tabs>
                <w:tab w:val="left" w:pos="136"/>
              </w:tabs>
              <w:autoSpaceDE w:val="0"/>
              <w:autoSpaceDN w:val="0"/>
              <w:adjustRightInd w:val="0"/>
              <w:snapToGrid w:val="0"/>
              <w:spacing w:line="200" w:lineRule="exact"/>
              <w:ind w:left="17"/>
              <w:rPr>
                <w:rFonts w:ascii="仿宋_GB2312" w:hAnsi="仿宋_GB2312" w:eastAsia="仿宋_GB2312" w:cs="仿宋_GB2312"/>
                <w:color w:val="auto"/>
                <w:spacing w:val="10"/>
                <w:sz w:val="18"/>
                <w:szCs w:val="18"/>
                <w:lang w:val="en-US" w:bidi="ar-SA"/>
              </w:rPr>
            </w:pPr>
            <w:r>
              <w:rPr>
                <w:rFonts w:hint="eastAsia" w:ascii="仿宋_GB2312" w:hAnsi="仿宋_GB2312" w:eastAsia="仿宋_GB2312" w:cs="仿宋_GB2312"/>
                <w:color w:val="auto"/>
                <w:spacing w:val="10"/>
                <w:sz w:val="18"/>
                <w:szCs w:val="18"/>
                <w:lang w:val="en-US" w:bidi="ar-SA"/>
              </w:rPr>
              <w:t>6.拆除人民防空工程后是否按规定补建或者缴纳拆除补偿费的检查。</w:t>
            </w:r>
          </w:p>
          <w:p>
            <w:pPr>
              <w:spacing w:line="2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查看人防工程拆除批准文件及补建防空地下室竣工验收文件或易地建设费缴纳凭证。</w:t>
            </w:r>
          </w:p>
        </w:tc>
        <w:tc>
          <w:tcPr>
            <w:tcW w:w="4688"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【法律】《中华人民共和国人民防空法》第二十五条  人民防空主管部门对人民防空工程的维护管理进行监督检查。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公用的人民防空工程的维护管理由人民防空主管部门负责。</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有关单位应当按照国家规定对已经修建或者使用的人民防空工程进行维护管理，使其保持良好使用状态。</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【地方性法规】《内蒙古自治区实施&lt;中华人民共和国人民防空法&gt;办法》第十四条  公用的人民防空工程的建设、使用、维护、管理，由人民防空主管部门负责；有关单位的人民防空工程的建设，由人民防空主管部门监督、检查、指导，平时由有关单位使用、维护、管理，战时由人民防空主管部门使用管理。                                                                                                                                                           </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【地方政府规章】</w:t>
            </w:r>
            <w:r>
              <w:rPr>
                <w:rFonts w:hint="eastAsia" w:ascii="仿宋_GB2312" w:hAnsi="仿宋_GB2312" w:eastAsia="仿宋_GB2312" w:cs="仿宋_GB2312"/>
                <w:color w:val="auto"/>
                <w:spacing w:val="10"/>
                <w:sz w:val="18"/>
                <w:szCs w:val="18"/>
              </w:rPr>
              <w:t>《内蒙古自治区人民防空工程建设管理规定》(内蒙古自治区人民政府令第 190 号)第二十条  设计单位应当在人民防空工程施工图设计中同步制定平战功能转换方案。</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建设单位应当落实平战转换设备，保证人民防空工程在规定的时限内转入战时使用状态。</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xml:space="preserve">    人民防空主管部门负责对人民防空工程平战转换措施的落实情况进行监督检查。</w:t>
            </w:r>
          </w:p>
        </w:tc>
        <w:tc>
          <w:tcPr>
            <w:tcW w:w="106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行政区域内经人民防空主管部门备案或登记的各类人民防空工程以及与工程配套的附属设施、</w:t>
            </w:r>
            <w:r>
              <w:rPr>
                <w:rFonts w:hint="eastAsia" w:ascii="仿宋_GB2312" w:hAnsi="仿宋_GB2312" w:eastAsia="仿宋_GB2312" w:cs="仿宋_GB2312"/>
                <w:color w:val="auto"/>
                <w:spacing w:val="10"/>
                <w:sz w:val="18"/>
                <w:szCs w:val="18"/>
              </w:rPr>
              <w:t>城市地下空间开发利用兼顾人民防空需要的工程防护部分</w:t>
            </w:r>
          </w:p>
        </w:tc>
        <w:tc>
          <w:tcPr>
            <w:tcW w:w="947" w:type="dxa"/>
            <w:noWrap w:val="0"/>
            <w:vAlign w:val="center"/>
          </w:tcPr>
          <w:p>
            <w:pPr>
              <w:pStyle w:val="15"/>
              <w:autoSpaceDE w:val="0"/>
              <w:autoSpaceDN w:val="0"/>
              <w:adjustRightInd w:val="0"/>
              <w:snapToGrid w:val="0"/>
              <w:ind w:left="17"/>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rPr>
              <w:t>1.</w:t>
            </w:r>
            <w:r>
              <w:rPr>
                <w:rFonts w:hint="eastAsia" w:ascii="仿宋_GB2312" w:hAnsi="仿宋_GB2312" w:eastAsia="仿宋_GB2312" w:cs="仿宋_GB2312"/>
                <w:color w:val="auto"/>
                <w:sz w:val="18"/>
                <w:szCs w:val="18"/>
              </w:rPr>
              <w:t>通过综合检查、日常检查、专项检查等多种方式对人民防空工程平时使用维护管理、平战转换措施的落实情况进行监督检查。</w:t>
            </w:r>
          </w:p>
          <w:p>
            <w:pPr>
              <w:pStyle w:val="15"/>
              <w:autoSpaceDE w:val="0"/>
              <w:autoSpaceDN w:val="0"/>
              <w:adjustRightInd w:val="0"/>
              <w:snapToGrid w:val="0"/>
              <w:ind w:left="17"/>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lang w:val="en-US"/>
              </w:rPr>
              <w:t>2.</w:t>
            </w:r>
            <w:r>
              <w:rPr>
                <w:rFonts w:hint="eastAsia" w:ascii="仿宋_GB2312" w:hAnsi="仿宋_GB2312" w:eastAsia="仿宋_GB2312" w:cs="仿宋_GB2312"/>
                <w:color w:val="auto"/>
                <w:sz w:val="18"/>
                <w:szCs w:val="18"/>
              </w:rPr>
              <w:t>通过实地检查、查阅台账、听取汇报、座谈交流等途径对人民防空工程平时使用维护管理、平战转换措施的落实情况进行监督检查。</w:t>
            </w:r>
          </w:p>
        </w:tc>
        <w:tc>
          <w:tcPr>
            <w:tcW w:w="1377"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自治区级、盟市级、旗县级国防动员办公室（人民防空办公室）</w:t>
            </w:r>
            <w:r>
              <w:rPr>
                <w:rFonts w:hint="eastAsia" w:ascii="仿宋_GB2312" w:hAnsi="仿宋_GB2312" w:eastAsia="仿宋_GB2312" w:cs="仿宋_GB2312"/>
                <w:color w:val="auto"/>
                <w:spacing w:val="10"/>
                <w:sz w:val="18"/>
                <w:szCs w:val="18"/>
                <w:lang w:val="en"/>
              </w:rPr>
              <w:t>根据工作实际，自行确定抽查比例、频次。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1" w:hRule="atLeast"/>
          <w:jc w:val="center"/>
        </w:trPr>
        <w:tc>
          <w:tcPr>
            <w:tcW w:w="510" w:type="dxa"/>
            <w:noWrap w:val="0"/>
            <w:vAlign w:val="center"/>
          </w:tcPr>
          <w:p>
            <w:pPr>
              <w:jc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4</w:t>
            </w:r>
          </w:p>
        </w:tc>
        <w:tc>
          <w:tcPr>
            <w:tcW w:w="825" w:type="dxa"/>
            <w:noWrap w:val="0"/>
            <w:vAlign w:val="center"/>
          </w:tcPr>
          <w:p>
            <w:pPr>
              <w:widowControl/>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对阻挠安装和擅自拆除人民防空通信、警报设施的行政监督检查</w:t>
            </w:r>
          </w:p>
          <w:p>
            <w:pPr>
              <w:pStyle w:val="7"/>
              <w:ind w:left="780" w:hanging="360"/>
              <w:rPr>
                <w:rFonts w:ascii="仿宋_GB2312" w:hAnsi="仿宋_GB2312" w:eastAsia="仿宋_GB2312" w:cs="仿宋_GB2312"/>
                <w:color w:val="auto"/>
                <w:sz w:val="18"/>
                <w:szCs w:val="18"/>
              </w:rPr>
            </w:pPr>
          </w:p>
        </w:tc>
        <w:tc>
          <w:tcPr>
            <w:tcW w:w="845" w:type="dxa"/>
            <w:noWrap w:val="0"/>
            <w:vAlign w:val="center"/>
          </w:tcPr>
          <w:p>
            <w:pPr>
              <w:widowControl/>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spacing w:val="10"/>
                <w:sz w:val="18"/>
                <w:szCs w:val="18"/>
              </w:rPr>
              <w:t>自治区级、盟市级、旗县级国防动员办公室（人民防空办公室）</w:t>
            </w:r>
          </w:p>
        </w:tc>
        <w:tc>
          <w:tcPr>
            <w:tcW w:w="300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1.检查人民防空指挥通信终端设备和警报通信终端设备设置单位对终端设备维护工作是否落实到位;</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2.有关单位和个人是否存在在人民防空通信设施保护区内进行危害性作业的行为;</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3.检查是否按规定办理人民防空通信、警报设施拆除改造审批手续。</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查看建设单位是否具有行政审批部门或人民防空主管部门同意建设的许可文件；</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4.检查拆除人民防空通信、警报设施后是否按规定补建或者缴纳拆除补偿费。</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查看人民防空通信、警报设施拆除批准文件及补建验收文件。</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法律、法规、规章规定的其他事项。</w:t>
            </w:r>
          </w:p>
        </w:tc>
        <w:tc>
          <w:tcPr>
            <w:tcW w:w="4688" w:type="dxa"/>
            <w:noWrap w:val="0"/>
            <w:vAlign w:val="center"/>
          </w:tcPr>
          <w:p>
            <w:pPr>
              <w:spacing w:line="3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10"/>
                <w:sz w:val="18"/>
                <w:szCs w:val="18"/>
              </w:rPr>
              <w:t>【法律】《中华人民共和国人民防空法》第四十九条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（一）侵占人民防空工程的；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（二）不按国家规定的防护标准和质量标准修建人民防空工程的；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（三）违反国家有关规定，改变人民防空工程主体结构、拆除人民防空工程设备设施或者采用其他方法危害人民防空工程的安全和使用效能的；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（四）拆除人民防空工程后拒不补建的；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（五） 占用人民防空通信专用频率、使用与防空警报相同的音响信号或者擅自拆除人民防空通信、警报设备设施的；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（六） 阻挠安装人民防空通信、警报设施，拒不改正的；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（七）向人民防空工程内排入废水、废气或者倾倒废弃物的。</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【地方性法规】《内蒙古自治区实施&lt;中华人民共和国人民防空法&gt;办法》第二十五条 设在有关单位的人民防空警报设施，由其所在单位管理。</w:t>
            </w:r>
          </w:p>
          <w:p>
            <w:pPr>
              <w:spacing w:line="300" w:lineRule="exact"/>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　　任何组织和个人不得阻挠安装和擅自拆除人民防空通信、警报设施，确因城市建设或者其他原因需拆除的，应当报经人民防空主管部门批准，由拆除单位负责补建或者补偿，并接受人民防空主管部门的监督、检查。</w:t>
            </w:r>
          </w:p>
        </w:tc>
        <w:tc>
          <w:tcPr>
            <w:tcW w:w="106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人民防空警报设施设置单位</w:t>
            </w:r>
          </w:p>
        </w:tc>
        <w:tc>
          <w:tcPr>
            <w:tcW w:w="947" w:type="dxa"/>
            <w:noWrap w:val="0"/>
            <w:vAlign w:val="center"/>
          </w:tcPr>
          <w:p>
            <w:pPr>
              <w:pStyle w:val="15"/>
              <w:autoSpaceDE w:val="0"/>
              <w:autoSpaceDN w:val="0"/>
              <w:adjustRightInd w:val="0"/>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rPr>
              <w:t>1</w:t>
            </w:r>
            <w:r>
              <w:rPr>
                <w:rFonts w:hint="eastAsia" w:ascii="仿宋_GB2312" w:hAnsi="仿宋_GB2312" w:eastAsia="仿宋_GB2312" w:cs="仿宋_GB2312"/>
                <w:color w:val="auto"/>
                <w:spacing w:val="10"/>
                <w:sz w:val="18"/>
                <w:szCs w:val="18"/>
                <w:lang w:val="en-US" w:bidi="ar-SA"/>
              </w:rPr>
              <w:t>.通过综合检查、日常检查、专项检查等多种方式对阻挠安装和擅自拆除人民防空通信、警报设施的行政监督检查。</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2.通过实地检查、查阅台账、听取汇报、座谈交流等途径</w:t>
            </w:r>
            <w:r>
              <w:rPr>
                <w:rFonts w:hint="eastAsia" w:ascii="仿宋_GB2312" w:hAnsi="仿宋_GB2312" w:eastAsia="仿宋_GB2312" w:cs="仿宋_GB2312"/>
                <w:color w:val="auto"/>
                <w:kern w:val="0"/>
                <w:sz w:val="18"/>
                <w:szCs w:val="18"/>
                <w:lang w:bidi="ar"/>
              </w:rPr>
              <w:t>对阻挠安装和擅自拆除人民防空通信、警报设施的行政监督检查</w:t>
            </w:r>
            <w:r>
              <w:rPr>
                <w:rFonts w:hint="eastAsia" w:ascii="仿宋_GB2312" w:hAnsi="仿宋_GB2312" w:eastAsia="仿宋_GB2312" w:cs="仿宋_GB2312"/>
                <w:color w:val="auto"/>
                <w:sz w:val="18"/>
                <w:szCs w:val="18"/>
              </w:rPr>
              <w:t>。</w:t>
            </w:r>
          </w:p>
        </w:tc>
        <w:tc>
          <w:tcPr>
            <w:tcW w:w="1377"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自治区级、盟市级、旗县级国防动员办公室（人民防空办公室）</w:t>
            </w:r>
            <w:r>
              <w:rPr>
                <w:rFonts w:hint="eastAsia" w:ascii="仿宋_GB2312" w:hAnsi="仿宋_GB2312" w:eastAsia="仿宋_GB2312" w:cs="仿宋_GB2312"/>
                <w:color w:val="auto"/>
                <w:spacing w:val="10"/>
                <w:sz w:val="18"/>
                <w:szCs w:val="18"/>
                <w:lang w:val="en"/>
              </w:rPr>
              <w:t>根据工作实际，自行确定抽查比例、频次。</w:t>
            </w:r>
            <w:r>
              <w:rPr>
                <w:rFonts w:hint="eastAsia" w:ascii="仿宋_GB2312" w:hAnsi="仿宋_GB2312" w:eastAsia="仿宋_GB2312" w:cs="仿宋_GB2312"/>
                <w:color w:val="auto"/>
                <w:sz w:val="18"/>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2" w:hRule="atLeast"/>
          <w:jc w:val="center"/>
        </w:trPr>
        <w:tc>
          <w:tcPr>
            <w:tcW w:w="510" w:type="dxa"/>
            <w:noWrap w:val="0"/>
            <w:vAlign w:val="center"/>
          </w:tcPr>
          <w:p>
            <w:pPr>
              <w:jc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5</w:t>
            </w:r>
          </w:p>
        </w:tc>
        <w:tc>
          <w:tcPr>
            <w:tcW w:w="825" w:type="dxa"/>
            <w:noWrap w:val="0"/>
            <w:vAlign w:val="center"/>
          </w:tcPr>
          <w:p>
            <w:pPr>
              <w:widowControl/>
              <w:textAlignment w:val="cente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kern w:val="0"/>
                <w:sz w:val="18"/>
                <w:szCs w:val="18"/>
                <w:lang w:bidi="ar"/>
              </w:rPr>
              <w:t>对人民群众防空组织训练的行政监督检查</w:t>
            </w:r>
          </w:p>
        </w:tc>
        <w:tc>
          <w:tcPr>
            <w:tcW w:w="845" w:type="dxa"/>
            <w:noWrap w:val="0"/>
            <w:vAlign w:val="center"/>
          </w:tcPr>
          <w:p>
            <w:pPr>
              <w:widowControl/>
              <w:textAlignment w:val="center"/>
              <w:rPr>
                <w:rFonts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spacing w:val="10"/>
                <w:sz w:val="18"/>
                <w:szCs w:val="18"/>
              </w:rPr>
              <w:t>自治区级、盟市级、旗县级国防动员办公室（人民防空办公室）</w:t>
            </w:r>
          </w:p>
        </w:tc>
        <w:tc>
          <w:tcPr>
            <w:tcW w:w="3001"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1.是否有群众防空防灾教育和防护技能训练计划;</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2.是否有相关资料器材;</w:t>
            </w:r>
          </w:p>
          <w:p>
            <w:pPr>
              <w:rPr>
                <w:rFonts w:ascii="仿宋_GB2312" w:hAnsi="仿宋_GB2312" w:eastAsia="仿宋_GB2312" w:cs="仿宋_GB2312"/>
                <w:color w:val="auto"/>
                <w:spacing w:val="10"/>
                <w:sz w:val="18"/>
                <w:szCs w:val="18"/>
                <w:lang w:val="en"/>
              </w:rPr>
            </w:pPr>
            <w:r>
              <w:rPr>
                <w:rFonts w:hint="eastAsia" w:ascii="仿宋_GB2312" w:hAnsi="仿宋_GB2312" w:eastAsia="仿宋_GB2312" w:cs="仿宋_GB2312"/>
                <w:color w:val="auto"/>
                <w:spacing w:val="10"/>
                <w:sz w:val="18"/>
                <w:szCs w:val="18"/>
              </w:rPr>
              <w:t>3.每年是否组织开展群众性宣传教育和训练演练活动。</w:t>
            </w:r>
          </w:p>
        </w:tc>
        <w:tc>
          <w:tcPr>
            <w:tcW w:w="4688"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【法律】</w:t>
            </w:r>
            <w:r>
              <w:rPr>
                <w:rFonts w:hint="eastAsia" w:ascii="仿宋_GB2312" w:hAnsi="仿宋_GB2312" w:eastAsia="仿宋_GB2312" w:cs="仿宋_GB2312"/>
                <w:color w:val="auto"/>
                <w:spacing w:val="-1"/>
                <w:sz w:val="18"/>
                <w:szCs w:val="18"/>
              </w:rPr>
              <w:t>《中华人民共和国人民防空法》第四十五条：国家开展人民防空教育，使公民增强国防观念，掌握人民防空的基本知识和技能。</w:t>
            </w:r>
          </w:p>
          <w:p>
            <w:pPr>
              <w:rPr>
                <w:rFonts w:ascii="仿宋_GB2312" w:hAnsi="仿宋_GB2312" w:eastAsia="仿宋_GB2312" w:cs="仿宋_GB2312"/>
                <w:color w:val="auto"/>
                <w:spacing w:val="10"/>
                <w:sz w:val="18"/>
                <w:szCs w:val="18"/>
                <w:lang w:val="en"/>
              </w:rPr>
            </w:pPr>
            <w:r>
              <w:rPr>
                <w:rFonts w:hint="eastAsia" w:ascii="仿宋_GB2312" w:hAnsi="仿宋_GB2312" w:eastAsia="仿宋_GB2312" w:cs="仿宋_GB2312"/>
                <w:color w:val="auto"/>
                <w:spacing w:val="10"/>
                <w:sz w:val="18"/>
                <w:szCs w:val="18"/>
              </w:rPr>
              <w:t>【地方性法规】《内蒙古自治区实施&lt;中华人民共和国人民防空法&gt;办法》第三十六条 国家机关、社会团体、企业事业单位人员的人民防空教育，由所在单位组织实施，其他人员的人民防空教育，由所在地基层人民政府组织实施，并接受上级人民防空主管部门的指导和检查。</w:t>
            </w:r>
          </w:p>
        </w:tc>
        <w:tc>
          <w:tcPr>
            <w:tcW w:w="1061" w:type="dxa"/>
            <w:noWrap w:val="0"/>
            <w:vAlign w:val="center"/>
          </w:tcPr>
          <w:p>
            <w:pPr>
              <w:rPr>
                <w:rFonts w:ascii="仿宋_GB2312" w:hAnsi="仿宋_GB2312" w:eastAsia="仿宋_GB2312" w:cs="仿宋_GB2312"/>
                <w:color w:val="auto"/>
                <w:spacing w:val="10"/>
                <w:sz w:val="18"/>
                <w:szCs w:val="18"/>
                <w:lang w:val="en"/>
              </w:rPr>
            </w:pPr>
            <w:r>
              <w:rPr>
                <w:rFonts w:hint="eastAsia" w:ascii="仿宋_GB2312" w:hAnsi="仿宋_GB2312" w:eastAsia="仿宋_GB2312" w:cs="仿宋_GB2312"/>
                <w:color w:val="auto"/>
                <w:spacing w:val="10"/>
                <w:sz w:val="18"/>
                <w:szCs w:val="18"/>
                <w:lang w:val="en"/>
              </w:rPr>
              <w:t>有关部门单位</w:t>
            </w:r>
          </w:p>
        </w:tc>
        <w:tc>
          <w:tcPr>
            <w:tcW w:w="947" w:type="dxa"/>
            <w:noWrap w:val="0"/>
            <w:vAlign w:val="center"/>
          </w:tcPr>
          <w:p>
            <w:pPr>
              <w:pStyle w:val="15"/>
              <w:autoSpaceDE w:val="0"/>
              <w:autoSpaceDN w:val="0"/>
              <w:adjustRightInd w:val="0"/>
              <w:snapToGrid w:val="0"/>
              <w:ind w:left="17"/>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rPr>
              <w:t>1.</w:t>
            </w:r>
            <w:r>
              <w:rPr>
                <w:rFonts w:hint="eastAsia" w:ascii="仿宋_GB2312" w:hAnsi="仿宋_GB2312" w:eastAsia="仿宋_GB2312" w:cs="仿宋_GB2312"/>
                <w:color w:val="auto"/>
                <w:sz w:val="18"/>
                <w:szCs w:val="18"/>
              </w:rPr>
              <w:t>通过综合检查、日常检查、专项检查等多种方式</w:t>
            </w:r>
            <w:r>
              <w:rPr>
                <w:rFonts w:hint="eastAsia" w:ascii="仿宋_GB2312" w:hAnsi="仿宋_GB2312" w:eastAsia="仿宋_GB2312" w:cs="仿宋_GB2312"/>
                <w:color w:val="auto"/>
                <w:kern w:val="0"/>
                <w:sz w:val="18"/>
                <w:szCs w:val="18"/>
                <w:lang w:val="en-US" w:bidi="ar"/>
              </w:rPr>
              <w:t>对人民群众防空组织训练的行政监督检查</w:t>
            </w:r>
            <w:r>
              <w:rPr>
                <w:rFonts w:hint="eastAsia" w:ascii="仿宋_GB2312" w:hAnsi="仿宋_GB2312" w:eastAsia="仿宋_GB2312" w:cs="仿宋_GB2312"/>
                <w:color w:val="auto"/>
                <w:sz w:val="18"/>
                <w:szCs w:val="18"/>
              </w:rPr>
              <w:t>。</w:t>
            </w:r>
          </w:p>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z w:val="18"/>
                <w:szCs w:val="18"/>
              </w:rPr>
              <w:t>2.通过实地检查、查阅台账、听取汇报、座谈交流等途径</w:t>
            </w:r>
            <w:r>
              <w:rPr>
                <w:rFonts w:hint="eastAsia" w:ascii="仿宋_GB2312" w:hAnsi="仿宋_GB2312" w:eastAsia="仿宋_GB2312" w:cs="仿宋_GB2312"/>
                <w:color w:val="auto"/>
                <w:kern w:val="0"/>
                <w:sz w:val="18"/>
                <w:szCs w:val="18"/>
                <w:lang w:bidi="ar"/>
              </w:rPr>
              <w:t>对人民群众防空组织训练的行政监督检查</w:t>
            </w:r>
            <w:r>
              <w:rPr>
                <w:rFonts w:hint="eastAsia" w:ascii="仿宋_GB2312" w:hAnsi="仿宋_GB2312" w:eastAsia="仿宋_GB2312" w:cs="仿宋_GB2312"/>
                <w:color w:val="auto"/>
                <w:sz w:val="18"/>
                <w:szCs w:val="18"/>
              </w:rPr>
              <w:t>。</w:t>
            </w:r>
          </w:p>
        </w:tc>
        <w:tc>
          <w:tcPr>
            <w:tcW w:w="1377" w:type="dxa"/>
            <w:noWrap w:val="0"/>
            <w:vAlign w:val="center"/>
          </w:tcPr>
          <w:p>
            <w:pPr>
              <w:rPr>
                <w:rFonts w:ascii="仿宋_GB2312" w:hAnsi="仿宋_GB2312" w:eastAsia="仿宋_GB2312" w:cs="仿宋_GB2312"/>
                <w:color w:val="auto"/>
                <w:spacing w:val="10"/>
                <w:sz w:val="18"/>
                <w:szCs w:val="18"/>
              </w:rPr>
            </w:pPr>
            <w:r>
              <w:rPr>
                <w:rFonts w:hint="eastAsia" w:ascii="仿宋_GB2312" w:hAnsi="仿宋_GB2312" w:eastAsia="仿宋_GB2312" w:cs="仿宋_GB2312"/>
                <w:color w:val="auto"/>
                <w:spacing w:val="10"/>
                <w:sz w:val="18"/>
                <w:szCs w:val="18"/>
              </w:rPr>
              <w:t>自治区级、盟市级、旗县级国防动员办公室（人民防空办公室）</w:t>
            </w:r>
            <w:r>
              <w:rPr>
                <w:rFonts w:hint="eastAsia" w:ascii="仿宋_GB2312" w:hAnsi="仿宋_GB2312" w:eastAsia="仿宋_GB2312" w:cs="仿宋_GB2312"/>
                <w:color w:val="auto"/>
                <w:spacing w:val="10"/>
                <w:sz w:val="18"/>
                <w:szCs w:val="18"/>
                <w:lang w:val="en"/>
              </w:rPr>
              <w:t>根据工作实际，自行确定抽查比例、频次。</w:t>
            </w:r>
            <w:r>
              <w:rPr>
                <w:rFonts w:hint="eastAsia" w:ascii="仿宋_GB2312" w:hAnsi="仿宋_GB2312" w:eastAsia="仿宋_GB2312" w:cs="仿宋_GB2312"/>
                <w:color w:val="auto"/>
                <w:sz w:val="18"/>
                <w:szCs w:val="1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jc w:val="center"/>
        </w:trPr>
        <w:tc>
          <w:tcPr>
            <w:tcW w:w="51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w:t>
            </w:r>
          </w:p>
        </w:tc>
        <w:tc>
          <w:tcPr>
            <w:tcW w:w="825"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人民防空防护设备产品质量、维护管理检 查</w:t>
            </w:r>
          </w:p>
        </w:tc>
        <w:tc>
          <w:tcPr>
            <w:tcW w:w="845"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自治区级、盟市级、旗县级国防动员办公室（人民防空办公室）</w:t>
            </w:r>
          </w:p>
        </w:tc>
        <w:tc>
          <w:tcPr>
            <w:tcW w:w="3001"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1.检查企业场地、人员、设备、管理制度、资质证书及现场生产情况是否符合国家相关规定。</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2.检查生产原材料进场检验记录、隐蔽验收资料、质量控制资料、出厂检验记录、出厂检验报告等是否符合国家相关要求。</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3.检查生产、销售的人民防空防护设备是否纳入《人民防空防护设备产品目录》。</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4.检查出厂销售的人民防空防护设备产品质量是否进行检验检测。</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5.检查生产的人民防空防护设备是否存在质量问题或者未履行产品维修维护责任的。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6.抽检项目现场设备安装质量，委托第三方机构抽检防护设备产品质量。</w:t>
            </w:r>
          </w:p>
        </w:tc>
        <w:tc>
          <w:tcPr>
            <w:tcW w:w="4688"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【法律】《中华人民共和国人民防空法》第二十三条  人民防空工程建设的设计、施工、质量必须符合国家规定的防护标准和质量标准。</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人民防空工程专用设备的定型、生产必须符合国家规定的标准。</w:t>
            </w:r>
          </w:p>
          <w:p>
            <w:pPr>
              <w:widowControl/>
              <w:jc w:val="lef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【部委规章】《人民防空防护设备管理办法》(国家发展和改革委员会令 第24号)第十七条 人民防空防护设备生产企业应当对其生产的人民防空防护设备产品质量负责，并接受发证机关以及生产地点所在地 县级以上地方人民防空主管部门的监督检查。 </w:t>
            </w:r>
          </w:p>
          <w:p>
            <w:pPr>
              <w:ind w:firstLine="360"/>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第二十四条 县级以上人民防空主管部门按照属地管理原则，组织对人民防空防护设备产品质量、维护管理等开展检查。人民防空主管部门开展人民防空防护设备监督检查时，有关组织和个人应当予以配合，如实提供相关情况和资料。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【地方政府规章】《内蒙古自治区人民防空工程建设管理规定》(内蒙古自治区人民政府令第 190 号)第二十一条  使用人民防空工程防护、防化设备，应当符合国家规定的标准，并与主体工程同步建设安装。</w:t>
            </w:r>
          </w:p>
          <w:p>
            <w:pPr>
              <w:rPr>
                <w:rFonts w:ascii="仿宋_GB2312" w:hAnsi="仿宋_GB2312" w:eastAsia="仿宋_GB2312" w:cs="仿宋_GB2312"/>
                <w:color w:val="auto"/>
                <w:sz w:val="18"/>
                <w:szCs w:val="18"/>
              </w:rPr>
            </w:pPr>
          </w:p>
        </w:tc>
        <w:tc>
          <w:tcPr>
            <w:tcW w:w="1061"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行政区域内注册或建厂生产的各类人民防空设备生产企业以及使用该类设备的人防工程及配套的附属设施、城市地下空间开发利用兼顾人民防空需要的防护工程部分</w:t>
            </w: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lang w:val="en"/>
              </w:rPr>
            </w:pPr>
          </w:p>
        </w:tc>
        <w:tc>
          <w:tcPr>
            <w:tcW w:w="947" w:type="dxa"/>
            <w:noWrap w:val="0"/>
            <w:vAlign w:val="center"/>
          </w:tcPr>
          <w:p>
            <w:pPr>
              <w:spacing w:line="22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1.通过综合检查、日常检查、专项检查等多种方式对人民防空防护设备产品质量、维护管理情况进行检查。</w:t>
            </w:r>
          </w:p>
          <w:p>
            <w:pPr>
              <w:spacing w:line="220" w:lineRule="exact"/>
              <w:rPr>
                <w:rFonts w:ascii="仿宋_GB2312" w:hAnsi="仿宋_GB2312" w:eastAsia="仿宋_GB2312" w:cs="仿宋_GB2312"/>
                <w:color w:val="auto"/>
                <w:spacing w:val="-23"/>
                <w:w w:val="99"/>
                <w:sz w:val="18"/>
                <w:szCs w:val="18"/>
              </w:rPr>
            </w:pPr>
            <w:r>
              <w:rPr>
                <w:rFonts w:hint="eastAsia" w:ascii="仿宋_GB2312" w:hAnsi="仿宋_GB2312" w:eastAsia="仿宋_GB2312" w:cs="仿宋_GB2312"/>
                <w:color w:val="auto"/>
                <w:sz w:val="18"/>
                <w:szCs w:val="18"/>
              </w:rPr>
              <w:t>2.通过前往企业、项目现场开展实地检查，通过查阅人民防空防护设备生产资料、维护资料、听取汇报、委托检验等途径对人民防空防护设备产品质量、维护管理情况进行检查。</w:t>
            </w:r>
          </w:p>
        </w:tc>
        <w:tc>
          <w:tcPr>
            <w:tcW w:w="1377"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自治区级、盟市级、旗县级国防动员办公室（人民防空办公室）</w:t>
            </w:r>
            <w:r>
              <w:rPr>
                <w:rFonts w:hint="eastAsia" w:ascii="仿宋_GB2312" w:hAnsi="仿宋_GB2312" w:eastAsia="仿宋_GB2312" w:cs="仿宋_GB2312"/>
                <w:color w:val="auto"/>
                <w:sz w:val="18"/>
                <w:szCs w:val="18"/>
                <w:lang w:val="en"/>
              </w:rPr>
              <w:t>根据工作实际，自行确定抽查比例、频次。</w:t>
            </w:r>
          </w:p>
        </w:tc>
      </w:tr>
    </w:tbl>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仿宋_GB2312" w:eastAsia="仿宋_GB2312"/>
          <w:sz w:val="32"/>
          <w:szCs w:val="32"/>
          <w:lang w:val="en-US" w:eastAsia="zh-CN"/>
        </w:rPr>
      </w:pP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74" w:right="2098" w:bottom="1474" w:left="1417"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- 2 -</w:t>
    </w:r>
    <w:r>
      <w:rPr>
        <w:rStyle w:val="13"/>
        <w:rFonts w:ascii="宋体" w:hAnsi="宋体"/>
        <w:sz w:val="28"/>
        <w:szCs w:val="28"/>
      </w:rPr>
      <w:fldChar w:fldCharType="end"/>
    </w:r>
  </w:p>
  <w:p>
    <w:pPr>
      <w:pStyle w:val="5"/>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kRl0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TFMg6PT1y+nbz9O3z8T&#10;vAGg1oU5/J4cPGP32nYljX4vBlPAe2q9k16nG00RuADt4wVh0UXC8TiZTWezMUwctkFBiuL63fkQ&#10;3wirSRJK6kFhRpYdNiGeXQeXlM3YdaNUplEZ0pb05uWrcf5wsSC4MslX5IHow6SuzqUnKXbbrm91&#10;a6sjOvX2PCzB8XWDUjYsxEfmMR0oHxMfH3BIZZHS9hIltfWf/vae/EEarJS0mLaSGqwDJeqtAZlp&#10;MAfBD8J2EMxe31mM7wSb5HgW8cFHNYjSW/0Ra7BKOSRTAYGZ4cgGogbxLkLrjVgnLlari753vtnV&#10;188YTcfixjw53lOd0AtutY9AO5OQMDsDBfKSgvnMNPa7lBbgVz17XTd++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k5EZdC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F6661"/>
    <w:rsid w:val="3D778363"/>
    <w:rsid w:val="4D3F6661"/>
    <w:rsid w:val="7EDF68F7"/>
    <w:rsid w:val="7EFF28FD"/>
    <w:rsid w:val="BE9DAEFF"/>
    <w:rsid w:val="D6BF213D"/>
    <w:rsid w:val="F4DF8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ind w:firstLine="720" w:firstLineChars="225"/>
      <w:textAlignment w:val="baseline"/>
    </w:pPr>
    <w:rPr>
      <w:rFonts w:eastAsia="仿宋_GB2312"/>
      <w:sz w:val="32"/>
      <w:szCs w:val="24"/>
    </w:rPr>
  </w:style>
  <w:style w:type="paragraph" w:styleId="4">
    <w:name w:val="annotation text"/>
    <w:basedOn w:val="1"/>
    <w:qFormat/>
    <w:uiPriority w:val="0"/>
    <w:pPr>
      <w:jc w:val="left"/>
    </w:pPr>
    <w:rPr>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rPr>
      <w:szCs w:val="24"/>
    </w:rPr>
  </w:style>
  <w:style w:type="paragraph" w:styleId="8">
    <w:name w:val="Normal (Web)"/>
    <w:basedOn w:val="1"/>
    <w:qFormat/>
    <w:uiPriority w:val="0"/>
    <w:pPr>
      <w:spacing w:before="100" w:beforeAutospacing="1" w:after="100" w:afterAutospacing="1"/>
      <w:jc w:val="left"/>
    </w:pPr>
    <w:rPr>
      <w:kern w:val="0"/>
      <w:sz w:val="24"/>
      <w:szCs w:val="24"/>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ascii="Calibri" w:hAnsi="Calibri" w:eastAsia="宋体" w:cs="Times New Roman"/>
      <w:b/>
    </w:rPr>
  </w:style>
  <w:style w:type="character" w:styleId="13">
    <w:name w:val="page number"/>
    <w:qFormat/>
    <w:uiPriority w:val="0"/>
  </w:style>
  <w:style w:type="paragraph" w:customStyle="1" w:styleId="14">
    <w:name w:val="Table Text"/>
    <w:basedOn w:val="1"/>
    <w:semiHidden/>
    <w:qFormat/>
    <w:uiPriority w:val="0"/>
    <w:rPr>
      <w:rFonts w:ascii="Arial" w:hAnsi="Arial" w:eastAsia="Arial" w:cs="Arial"/>
      <w:szCs w:val="21"/>
      <w:lang w:eastAsia="en-US"/>
    </w:rPr>
  </w:style>
  <w:style w:type="paragraph" w:customStyle="1" w:styleId="15">
    <w:name w:val="Table Paragraph"/>
    <w:basedOn w:val="1"/>
    <w:qFormat/>
    <w:uiPriority w:val="1"/>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15.6666666666667</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2025-05-16T18:28:00Z</dcterms:created>
  <dc:creator>杨静涛:返回拟稿人</dc:creator>
  <cp:lastModifiedBy>uos</cp:lastModifiedBy>
  <dcterms:modified xsi:type="dcterms:W3CDTF">2025-07-14T19:38:04Z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