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宋体" w:eastAsia="方正小标宋简体"/>
          <w:b w:val="0"/>
          <w:bCs/>
          <w:sz w:val="44"/>
          <w:szCs w:val="44"/>
          <w:lang w:eastAsia="zh-CN"/>
        </w:rPr>
      </w:pPr>
    </w:p>
    <w:p>
      <w:pPr>
        <w:keepNext w:val="0"/>
        <w:keepLines w:val="0"/>
        <w:pageBreakBefore w:val="0"/>
        <w:widowControl w:val="0"/>
        <w:kinsoku/>
        <w:wordWrap/>
        <w:overflowPunct w:val="0"/>
        <w:topLinePunct/>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内蒙古自治区人民政府办公厅</w:t>
      </w:r>
    </w:p>
    <w:p>
      <w:pPr>
        <w:keepNext w:val="0"/>
        <w:keepLines w:val="0"/>
        <w:pageBreakBefore w:val="0"/>
        <w:widowControl w:val="0"/>
        <w:kinsoku/>
        <w:wordWrap/>
        <w:overflowPunct w:val="0"/>
        <w:topLinePunct/>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23"/>
          <w:sz w:val="44"/>
          <w:szCs w:val="44"/>
          <w:lang w:eastAsia="zh-CN"/>
        </w:rPr>
      </w:pPr>
      <w:r>
        <w:rPr>
          <w:rFonts w:hint="eastAsia" w:ascii="方正小标宋简体" w:hAnsi="方正小标宋简体" w:eastAsia="方正小标宋简体" w:cs="方正小标宋简体"/>
          <w:spacing w:val="23"/>
          <w:sz w:val="44"/>
          <w:szCs w:val="44"/>
          <w:lang w:eastAsia="zh-CN"/>
        </w:rPr>
        <w:t>关于接触性聚集性服务业精准纾困</w:t>
      </w:r>
    </w:p>
    <w:p>
      <w:pPr>
        <w:keepNext w:val="0"/>
        <w:keepLines w:val="0"/>
        <w:pageBreakBefore w:val="0"/>
        <w:widowControl w:val="0"/>
        <w:kinsoku/>
        <w:wordWrap/>
        <w:overflowPunct w:val="0"/>
        <w:topLinePunct/>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23"/>
          <w:sz w:val="44"/>
          <w:szCs w:val="44"/>
          <w:lang w:eastAsia="zh-CN"/>
        </w:rPr>
      </w:pPr>
      <w:r>
        <w:rPr>
          <w:rFonts w:hint="eastAsia" w:ascii="方正小标宋简体" w:hAnsi="方正小标宋简体" w:eastAsia="方正小标宋简体" w:cs="方正小标宋简体"/>
          <w:spacing w:val="23"/>
          <w:sz w:val="44"/>
          <w:szCs w:val="44"/>
          <w:lang w:eastAsia="zh-CN"/>
        </w:rPr>
        <w:t>若干政策措施的通知</w:t>
      </w:r>
    </w:p>
    <w:bookmarkEnd w:id="0"/>
    <w:p>
      <w:pPr>
        <w:keepNext w:val="0"/>
        <w:keepLines w:val="0"/>
        <w:pageBreakBefore w:val="0"/>
        <w:widowControl w:val="0"/>
        <w:kinsoku/>
        <w:wordWrap/>
        <w:overflowPunct w:val="0"/>
        <w:topLinePunct/>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23"/>
          <w:sz w:val="44"/>
          <w:szCs w:val="44"/>
          <w:lang w:eastAsia="zh-CN"/>
        </w:rPr>
      </w:pPr>
    </w:p>
    <w:p>
      <w:pPr>
        <w:keepNext w:val="0"/>
        <w:keepLines w:val="0"/>
        <w:pageBreakBefore w:val="0"/>
        <w:widowControl w:val="0"/>
        <w:kinsoku/>
        <w:wordWrap/>
        <w:overflowPunct w:val="0"/>
        <w:topLinePunct/>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23"/>
          <w:sz w:val="44"/>
          <w:szCs w:val="44"/>
          <w:lang w:eastAsia="zh-CN"/>
        </w:rPr>
      </w:pPr>
      <w:r>
        <w:rPr>
          <w:rFonts w:hint="eastAsia" w:ascii="方正楷体简体" w:hAnsi="方正楷体简体" w:eastAsia="方正楷体简体" w:cs="方正楷体简体"/>
          <w:b w:val="0"/>
          <w:bCs/>
          <w:sz w:val="32"/>
          <w:szCs w:val="32"/>
          <w:vertAlign w:val="baseline"/>
          <w:lang w:val="en-US" w:eastAsia="zh-CN"/>
        </w:rPr>
        <w:t>内政办发电〔2022〕4号</w:t>
      </w:r>
    </w:p>
    <w:p>
      <w:pPr>
        <w:keepNext w:val="0"/>
        <w:keepLines w:val="0"/>
        <w:pageBreakBefore w:val="0"/>
        <w:numPr>
          <w:ilvl w:val="0"/>
          <w:numId w:val="0"/>
        </w:numPr>
        <w:kinsoku/>
        <w:wordWrap/>
        <w:overflowPunct w:val="0"/>
        <w:topLinePunct/>
        <w:autoSpaceDE/>
        <w:autoSpaceDN/>
        <w:bidi w:val="0"/>
        <w:adjustRightInd/>
        <w:snapToGrid/>
        <w:spacing w:line="580" w:lineRule="exact"/>
        <w:jc w:val="both"/>
        <w:textAlignment w:val="auto"/>
        <w:rPr>
          <w:rFonts w:hint="default" w:ascii="Times New Roman" w:hAnsi="Times New Roman" w:eastAsia="仿宋_GB2312" w:cs="Times New Roman"/>
          <w:b/>
          <w:bCs/>
          <w:i w:val="0"/>
          <w:caps w:val="0"/>
          <w:color w:val="000000"/>
          <w:spacing w:val="0"/>
          <w:kern w:val="0"/>
          <w:sz w:val="32"/>
          <w:szCs w:val="32"/>
          <w:highlight w:val="none"/>
          <w:shd w:val="clear" w:color="auto" w:fill="FFFFFF"/>
          <w:lang w:val="en-US" w:eastAsia="zh-CN" w:bidi="ar"/>
        </w:rPr>
      </w:pPr>
    </w:p>
    <w:p>
      <w:pPr>
        <w:keepNext w:val="0"/>
        <w:keepLines w:val="0"/>
        <w:pageBreakBefore w:val="0"/>
        <w:numPr>
          <w:ilvl w:val="0"/>
          <w:numId w:val="0"/>
        </w:numPr>
        <w:kinsoku/>
        <w:wordWrap/>
        <w:overflowPunct w:val="0"/>
        <w:topLinePunct/>
        <w:autoSpaceDE/>
        <w:autoSpaceDN/>
        <w:bidi w:val="0"/>
        <w:adjustRightInd/>
        <w:snapToGrid/>
        <w:spacing w:line="580" w:lineRule="exact"/>
        <w:jc w:val="both"/>
        <w:textAlignment w:val="auto"/>
        <w:rPr>
          <w:rFonts w:hint="eastAsia" w:ascii="方正仿宋_GBK" w:hAnsi="方正仿宋_GBK" w:eastAsia="方正仿宋_GBK" w:cs="方正仿宋_GBK"/>
          <w:b w:val="0"/>
          <w:bCs w:val="0"/>
          <w:i w:val="0"/>
          <w:caps w:val="0"/>
          <w:color w:val="000000"/>
          <w:spacing w:val="0"/>
          <w:kern w:val="0"/>
          <w:sz w:val="32"/>
          <w:szCs w:val="32"/>
          <w:highlight w:val="none"/>
          <w:shd w:val="clear" w:color="auto" w:fill="FFFFFF"/>
          <w:lang w:val="en-US" w:eastAsia="zh-CN" w:bidi="ar"/>
        </w:rPr>
      </w:pPr>
      <w:r>
        <w:rPr>
          <w:rFonts w:hint="eastAsia" w:ascii="方正仿宋_GBK" w:hAnsi="方正仿宋_GBK" w:eastAsia="方正仿宋_GBK" w:cs="方正仿宋_GBK"/>
          <w:b w:val="0"/>
          <w:bCs w:val="0"/>
          <w:i w:val="0"/>
          <w:caps w:val="0"/>
          <w:color w:val="000000"/>
          <w:spacing w:val="0"/>
          <w:kern w:val="0"/>
          <w:sz w:val="32"/>
          <w:szCs w:val="32"/>
          <w:highlight w:val="none"/>
          <w:shd w:val="clear" w:color="auto" w:fill="FFFFFF"/>
          <w:lang w:val="en-US" w:eastAsia="zh-CN" w:bidi="ar"/>
        </w:rPr>
        <w:t>各盟行政公署、市人民政府，自治区各委、办、厅、局，各大企业、事业单位：</w:t>
      </w:r>
    </w:p>
    <w:p>
      <w:pPr>
        <w:keepNext w:val="0"/>
        <w:keepLines w:val="0"/>
        <w:pageBreakBefore w:val="0"/>
        <w:numPr>
          <w:ilvl w:val="0"/>
          <w:numId w:val="0"/>
        </w:numPr>
        <w:kinsoku/>
        <w:wordWrap/>
        <w:overflowPunct w:val="0"/>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 w:val="0"/>
          <w:bCs w:val="0"/>
          <w:i w:val="0"/>
          <w:caps w:val="0"/>
          <w:color w:val="000000"/>
          <w:spacing w:val="0"/>
          <w:kern w:val="0"/>
          <w:sz w:val="32"/>
          <w:szCs w:val="32"/>
          <w:highlight w:val="none"/>
          <w:shd w:val="clear" w:color="auto" w:fill="FFFFFF"/>
          <w:lang w:val="en-US" w:eastAsia="zh-CN" w:bidi="ar"/>
        </w:rPr>
      </w:pPr>
      <w:r>
        <w:rPr>
          <w:rFonts w:hint="eastAsia" w:ascii="方正仿宋_GBK" w:hAnsi="方正仿宋_GBK" w:eastAsia="方正仿宋_GBK" w:cs="方正仿宋_GBK"/>
          <w:b w:val="0"/>
          <w:bCs w:val="0"/>
          <w:i w:val="0"/>
          <w:caps w:val="0"/>
          <w:color w:val="000000"/>
          <w:spacing w:val="0"/>
          <w:kern w:val="0"/>
          <w:sz w:val="32"/>
          <w:szCs w:val="32"/>
          <w:highlight w:val="none"/>
          <w:shd w:val="clear" w:color="auto" w:fill="FFFFFF"/>
          <w:lang w:val="en-US" w:eastAsia="zh-CN" w:bidi="ar"/>
        </w:rPr>
        <w:t>为应对新冠肺炎疫情对住宿、餐饮、零售、旅游等接触性聚集性服务业的影响，降低企业和个体工商户经营成本，稳定市场预期，增强市场信心，推动消费市场恢复活力，经自治区人民政</w:t>
      </w:r>
      <w:r>
        <w:rPr>
          <w:rFonts w:hint="eastAsia" w:ascii="方正仿宋_GBK" w:hAnsi="方正仿宋_GBK" w:eastAsia="方正仿宋_GBK" w:cs="方正仿宋_GBK"/>
          <w:b w:val="0"/>
          <w:bCs w:val="0"/>
          <w:i w:val="0"/>
          <w:caps w:val="0"/>
          <w:color w:val="000000"/>
          <w:spacing w:val="-6"/>
          <w:kern w:val="0"/>
          <w:sz w:val="32"/>
          <w:szCs w:val="32"/>
          <w:highlight w:val="none"/>
          <w:shd w:val="clear" w:color="auto" w:fill="FFFFFF"/>
          <w:lang w:val="en-US" w:eastAsia="zh-CN" w:bidi="ar"/>
        </w:rPr>
        <w:t>府同意，现将接触性聚集性服务业精准纾困若干政策措施通知如下。</w:t>
      </w:r>
    </w:p>
    <w:p>
      <w:pPr>
        <w:keepNext w:val="0"/>
        <w:keepLines w:val="0"/>
        <w:pageBreakBefore w:val="0"/>
        <w:numPr>
          <w:ilvl w:val="0"/>
          <w:numId w:val="0"/>
        </w:numPr>
        <w:kinsoku/>
        <w:wordWrap/>
        <w:overflowPunct w:val="0"/>
        <w:topLinePunct/>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b w:val="0"/>
          <w:bCs w:val="0"/>
          <w:i w:val="0"/>
          <w:caps w:val="0"/>
          <w:color w:val="000000"/>
          <w:spacing w:val="0"/>
          <w:kern w:val="0"/>
          <w:sz w:val="32"/>
          <w:szCs w:val="32"/>
          <w:highlight w:val="none"/>
          <w:shd w:val="clear" w:color="auto" w:fill="FFFFFF"/>
          <w:lang w:val="en-US" w:eastAsia="zh-CN" w:bidi="ar"/>
        </w:rPr>
      </w:pPr>
      <w:r>
        <w:rPr>
          <w:rFonts w:hint="eastAsia" w:ascii="方正黑体_GBK" w:hAnsi="方正黑体_GBK" w:eastAsia="方正黑体_GBK" w:cs="方正黑体_GBK"/>
          <w:b w:val="0"/>
          <w:bCs w:val="0"/>
          <w:i w:val="0"/>
          <w:caps w:val="0"/>
          <w:color w:val="000000"/>
          <w:spacing w:val="0"/>
          <w:kern w:val="0"/>
          <w:sz w:val="32"/>
          <w:szCs w:val="32"/>
          <w:highlight w:val="none"/>
          <w:shd w:val="clear" w:color="auto" w:fill="FFFFFF"/>
          <w:lang w:val="en-US" w:eastAsia="zh-CN" w:bidi="ar"/>
        </w:rPr>
        <w:t>一、精准实施疫情防控</w:t>
      </w:r>
    </w:p>
    <w:p>
      <w:pPr>
        <w:keepNext w:val="0"/>
        <w:keepLines w:val="0"/>
        <w:pageBreakBefore w:val="0"/>
        <w:numPr>
          <w:ilvl w:val="0"/>
          <w:numId w:val="0"/>
        </w:numPr>
        <w:kinsoku/>
        <w:wordWrap/>
        <w:overflowPunct w:val="0"/>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 w:val="0"/>
          <w:bCs w:val="0"/>
          <w:color w:val="000000"/>
          <w:kern w:val="0"/>
          <w:sz w:val="32"/>
          <w:szCs w:val="32"/>
          <w:highlight w:val="none"/>
          <w:lang w:val="en-US" w:eastAsia="zh-CN" w:bidi="ar"/>
        </w:rPr>
      </w:pPr>
      <w:r>
        <w:rPr>
          <w:rFonts w:hint="eastAsia" w:ascii="方正仿宋_GBK" w:hAnsi="方正仿宋_GBK" w:eastAsia="方正仿宋_GBK" w:cs="方正仿宋_GBK"/>
          <w:b w:val="0"/>
          <w:bCs w:val="0"/>
          <w:i w:val="0"/>
          <w:caps w:val="0"/>
          <w:color w:val="000000"/>
          <w:spacing w:val="0"/>
          <w:kern w:val="0"/>
          <w:sz w:val="32"/>
          <w:szCs w:val="32"/>
          <w:highlight w:val="none"/>
          <w:shd w:val="clear" w:color="auto" w:fill="FFFFFF"/>
          <w:lang w:val="en-US" w:eastAsia="zh-CN" w:bidi="ar"/>
        </w:rPr>
        <w:t>（一）各地区要压实属地主体责任，及时科学研判，有序调整防控措施，不得层层加码，坚决防止和避免“放松防控”和“过度防控”两种倾向，在做好新冠肺炎疫情防控的前提下，有效恢复和保持市场经营秩序。</w:t>
      </w:r>
      <w:r>
        <w:rPr>
          <w:rFonts w:hint="eastAsia" w:ascii="方正楷体_GBK" w:hAnsi="方正楷体_GBK" w:eastAsia="方正楷体_GBK" w:cs="方正楷体_GBK"/>
          <w:b w:val="0"/>
          <w:bCs w:val="0"/>
          <w:color w:val="000000"/>
          <w:kern w:val="0"/>
          <w:sz w:val="32"/>
          <w:szCs w:val="32"/>
          <w:highlight w:val="none"/>
          <w:lang w:val="en-US" w:eastAsia="zh-CN" w:bidi="ar"/>
        </w:rPr>
        <w:t>（自治区新冠肺炎疫情防控指挥部，各盟行政公署、市人民政府）</w:t>
      </w:r>
    </w:p>
    <w:p>
      <w:pPr>
        <w:keepNext w:val="0"/>
        <w:keepLines w:val="0"/>
        <w:pageBreakBefore w:val="0"/>
        <w:numPr>
          <w:ilvl w:val="0"/>
          <w:numId w:val="0"/>
        </w:numPr>
        <w:kinsoku/>
        <w:wordWrap/>
        <w:overflowPunct w:val="0"/>
        <w:topLinePunct/>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b w:val="0"/>
          <w:bCs w:val="0"/>
          <w:i w:val="0"/>
          <w:caps w:val="0"/>
          <w:color w:val="000000"/>
          <w:spacing w:val="0"/>
          <w:kern w:val="0"/>
          <w:sz w:val="32"/>
          <w:szCs w:val="32"/>
          <w:highlight w:val="none"/>
          <w:shd w:val="clear" w:color="auto" w:fill="FFFFFF"/>
          <w:lang w:val="en-US" w:eastAsia="zh-CN" w:bidi="ar"/>
        </w:rPr>
      </w:pPr>
      <w:r>
        <w:rPr>
          <w:rFonts w:hint="eastAsia" w:ascii="方正黑体_GBK" w:hAnsi="方正黑体_GBK" w:eastAsia="方正黑体_GBK" w:cs="方正黑体_GBK"/>
          <w:b w:val="0"/>
          <w:bCs w:val="0"/>
          <w:i w:val="0"/>
          <w:caps w:val="0"/>
          <w:color w:val="000000"/>
          <w:spacing w:val="0"/>
          <w:kern w:val="0"/>
          <w:sz w:val="32"/>
          <w:szCs w:val="32"/>
          <w:highlight w:val="none"/>
          <w:shd w:val="clear" w:color="auto" w:fill="FFFFFF"/>
          <w:lang w:val="en-US" w:eastAsia="zh-CN" w:bidi="ar"/>
        </w:rPr>
        <w:t>二、有效降低经营成本</w:t>
      </w:r>
    </w:p>
    <w:p>
      <w:pPr>
        <w:keepNext w:val="0"/>
        <w:keepLines w:val="0"/>
        <w:pageBreakBefore w:val="0"/>
        <w:numPr>
          <w:ilvl w:val="0"/>
          <w:numId w:val="0"/>
        </w:numPr>
        <w:kinsoku/>
        <w:wordWrap/>
        <w:overflowPunct w:val="0"/>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 w:val="0"/>
          <w:bCs w:val="0"/>
          <w:color w:val="000000"/>
          <w:kern w:val="0"/>
          <w:sz w:val="32"/>
          <w:szCs w:val="32"/>
          <w:highlight w:val="none"/>
          <w:lang w:val="en-US" w:eastAsia="zh-CN" w:bidi="ar"/>
        </w:rPr>
      </w:pPr>
      <w:r>
        <w:rPr>
          <w:rFonts w:hint="eastAsia" w:ascii="方正仿宋_GBK" w:hAnsi="方正仿宋_GBK" w:eastAsia="方正仿宋_GBK" w:cs="方正仿宋_GBK"/>
          <w:b w:val="0"/>
          <w:bCs w:val="0"/>
          <w:i w:val="0"/>
          <w:caps w:val="0"/>
          <w:color w:val="000000"/>
          <w:spacing w:val="0"/>
          <w:kern w:val="0"/>
          <w:sz w:val="32"/>
          <w:szCs w:val="32"/>
          <w:highlight w:val="none"/>
          <w:shd w:val="clear" w:color="auto" w:fill="FFFFFF"/>
          <w:lang w:val="en-US" w:eastAsia="zh-CN" w:bidi="ar"/>
        </w:rPr>
        <w:t>（二）对接触性聚集性服务业企业、个体工商户免费开展员工定期核酸检测，对防疫、消杀支出给予补贴支持。</w:t>
      </w:r>
      <w:r>
        <w:rPr>
          <w:rFonts w:hint="eastAsia" w:ascii="方正楷体_GBK" w:hAnsi="方正楷体_GBK" w:eastAsia="方正楷体_GBK" w:cs="方正楷体_GBK"/>
          <w:b w:val="0"/>
          <w:bCs w:val="0"/>
          <w:color w:val="000000"/>
          <w:kern w:val="0"/>
          <w:sz w:val="32"/>
          <w:szCs w:val="32"/>
          <w:highlight w:val="none"/>
          <w:lang w:val="en-US" w:eastAsia="zh-CN" w:bidi="ar"/>
        </w:rPr>
        <w:t>（各盟行政公署、市人民政府）</w:t>
      </w:r>
    </w:p>
    <w:p>
      <w:pPr>
        <w:keepNext w:val="0"/>
        <w:keepLines w:val="0"/>
        <w:pageBreakBefore w:val="0"/>
        <w:numPr>
          <w:ilvl w:val="0"/>
          <w:numId w:val="0"/>
        </w:numPr>
        <w:kinsoku/>
        <w:wordWrap/>
        <w:overflowPunct w:val="0"/>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 w:val="0"/>
          <w:bCs w:val="0"/>
          <w:color w:val="000000"/>
          <w:kern w:val="0"/>
          <w:sz w:val="32"/>
          <w:szCs w:val="32"/>
          <w:highlight w:val="none"/>
          <w:lang w:val="en-US" w:eastAsia="zh-CN" w:bidi="ar"/>
        </w:rPr>
      </w:pPr>
      <w:r>
        <w:rPr>
          <w:rFonts w:hint="eastAsia" w:ascii="方正仿宋_GBK" w:hAnsi="方正仿宋_GBK" w:eastAsia="方正仿宋_GBK" w:cs="方正仿宋_GBK"/>
          <w:b w:val="0"/>
          <w:bCs w:val="0"/>
          <w:i w:val="0"/>
          <w:caps w:val="0"/>
          <w:color w:val="000000"/>
          <w:spacing w:val="0"/>
          <w:kern w:val="0"/>
          <w:sz w:val="32"/>
          <w:szCs w:val="32"/>
          <w:highlight w:val="none"/>
          <w:shd w:val="clear" w:color="auto" w:fill="FFFFFF"/>
          <w:lang w:val="en-US" w:eastAsia="zh-CN" w:bidi="ar"/>
        </w:rPr>
        <w:t>（三）对不裁员、少裁员的接触性聚集性服务业企业实施普惠性失业保险稳岗返还政策，中小微企业按照企业上年度实际缴纳当年度失业保险费的90%返还，通过“免申直返”直接向符合条件的企业精准发放稳岗返还资金，以单位形式参保的个体经济参照中小微企业执行。</w:t>
      </w:r>
      <w:r>
        <w:rPr>
          <w:rFonts w:hint="eastAsia" w:ascii="方正楷体_GBK" w:hAnsi="方正楷体_GBK" w:eastAsia="方正楷体_GBK" w:cs="方正楷体_GBK"/>
          <w:b w:val="0"/>
          <w:bCs w:val="0"/>
          <w:color w:val="000000"/>
          <w:kern w:val="0"/>
          <w:sz w:val="32"/>
          <w:szCs w:val="32"/>
          <w:highlight w:val="none"/>
          <w:lang w:val="en-US" w:eastAsia="zh-CN" w:bidi="ar"/>
        </w:rPr>
        <w:t>（自治区人力资源社会保障厅，各盟行政公署、市人民政府）</w:t>
      </w:r>
    </w:p>
    <w:p>
      <w:pPr>
        <w:keepNext w:val="0"/>
        <w:keepLines w:val="0"/>
        <w:pageBreakBefore w:val="0"/>
        <w:kinsoku/>
        <w:wordWrap/>
        <w:overflowPunct w:val="0"/>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 w:val="0"/>
          <w:bCs w:val="0"/>
          <w:color w:val="000000"/>
          <w:kern w:val="0"/>
          <w:sz w:val="32"/>
          <w:szCs w:val="32"/>
          <w:highlight w:val="none"/>
          <w:lang w:val="en-US" w:eastAsia="zh-CN" w:bidi="ar"/>
        </w:rPr>
      </w:pPr>
      <w:r>
        <w:rPr>
          <w:rFonts w:hint="eastAsia" w:ascii="方正仿宋_GBK" w:hAnsi="方正仿宋_GBK" w:eastAsia="方正仿宋_GBK" w:cs="方正仿宋_GBK"/>
          <w:b w:val="0"/>
          <w:bCs w:val="0"/>
          <w:i w:val="0"/>
          <w:caps w:val="0"/>
          <w:color w:val="000000"/>
          <w:spacing w:val="0"/>
          <w:kern w:val="0"/>
          <w:sz w:val="32"/>
          <w:szCs w:val="32"/>
          <w:highlight w:val="none"/>
          <w:shd w:val="clear" w:color="auto" w:fill="FFFFFF"/>
          <w:lang w:val="en-US" w:eastAsia="zh-CN" w:bidi="ar"/>
        </w:rPr>
        <w:t>（四）对接触性聚集性服务业企业、个体工商户采取欠费不停供措施，可延缓3个月缴纳企业生产经营产生的水、电、气费用，并</w:t>
      </w:r>
      <w:r>
        <w:rPr>
          <w:rFonts w:hint="eastAsia" w:ascii="方正仿宋_GBK" w:hAnsi="方正仿宋_GBK" w:eastAsia="方正仿宋_GBK" w:cs="方正仿宋_GBK"/>
          <w:b w:val="0"/>
          <w:bCs w:val="0"/>
          <w:i w:val="0"/>
          <w:caps w:val="0"/>
          <w:color w:val="000000"/>
          <w:spacing w:val="0"/>
          <w:kern w:val="0"/>
          <w:sz w:val="32"/>
          <w:szCs w:val="32"/>
          <w:highlight w:val="none"/>
          <w:u w:val="none"/>
          <w:shd w:val="clear" w:color="auto" w:fill="FFFFFF"/>
          <w:lang w:val="en-US" w:eastAsia="zh-CN" w:bidi="ar"/>
        </w:rPr>
        <w:t>减免在此期间产生的欠费违约金。</w:t>
      </w:r>
      <w:r>
        <w:rPr>
          <w:rFonts w:hint="eastAsia" w:ascii="方正楷体_GBK" w:hAnsi="方正楷体_GBK" w:eastAsia="方正楷体_GBK" w:cs="方正楷体_GBK"/>
          <w:b w:val="0"/>
          <w:bCs w:val="0"/>
          <w:color w:val="000000"/>
          <w:kern w:val="0"/>
          <w:sz w:val="32"/>
          <w:szCs w:val="32"/>
          <w:highlight w:val="none"/>
          <w:lang w:val="en-US" w:eastAsia="zh-CN" w:bidi="ar"/>
        </w:rPr>
        <w:t>（各盟行政公署、市人民政府）</w:t>
      </w:r>
    </w:p>
    <w:p>
      <w:pPr>
        <w:keepNext w:val="0"/>
        <w:keepLines w:val="0"/>
        <w:pageBreakBefore w:val="0"/>
        <w:kinsoku/>
        <w:wordWrap/>
        <w:overflowPunct w:val="0"/>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 w:val="0"/>
          <w:bCs w:val="0"/>
          <w:color w:val="000000"/>
          <w:kern w:val="0"/>
          <w:sz w:val="32"/>
          <w:szCs w:val="32"/>
          <w:highlight w:val="none"/>
          <w:lang w:val="en-US" w:eastAsia="zh-CN" w:bidi="ar"/>
        </w:rPr>
      </w:pPr>
      <w:r>
        <w:rPr>
          <w:rFonts w:hint="eastAsia" w:ascii="方正仿宋_GBK" w:hAnsi="方正仿宋_GBK" w:eastAsia="方正仿宋_GBK" w:cs="方正仿宋_GBK"/>
          <w:b w:val="0"/>
          <w:bCs w:val="0"/>
          <w:i w:val="0"/>
          <w:caps w:val="0"/>
          <w:color w:val="000000"/>
          <w:spacing w:val="0"/>
          <w:kern w:val="0"/>
          <w:sz w:val="32"/>
          <w:szCs w:val="32"/>
          <w:highlight w:val="none"/>
          <w:shd w:val="clear" w:color="auto" w:fill="FFFFFF"/>
          <w:lang w:val="en-US" w:eastAsia="zh-CN" w:bidi="ar"/>
        </w:rPr>
        <w:t>（五）</w:t>
      </w:r>
      <w:r>
        <w:rPr>
          <w:rFonts w:hint="eastAsia" w:ascii="方正仿宋_GBK" w:hAnsi="方正仿宋_GBK" w:eastAsia="方正仿宋_GBK" w:cs="方正仿宋_GBK"/>
          <w:b w:val="0"/>
          <w:bCs w:val="0"/>
          <w:color w:val="000000"/>
          <w:kern w:val="0"/>
          <w:sz w:val="32"/>
          <w:szCs w:val="32"/>
          <w:highlight w:val="none"/>
          <w:lang w:bidi="ar"/>
        </w:rPr>
        <w:t>加快通行证全国统一互认，推广通行证电子化、网上办。</w:t>
      </w:r>
      <w:r>
        <w:rPr>
          <w:rFonts w:hint="eastAsia" w:ascii="方正仿宋_GBK" w:hAnsi="方正仿宋_GBK" w:eastAsia="方正仿宋_GBK" w:cs="方正仿宋_GBK"/>
          <w:b w:val="0"/>
          <w:bCs w:val="0"/>
          <w:i w:val="0"/>
          <w:caps w:val="0"/>
          <w:color w:val="000000"/>
          <w:spacing w:val="0"/>
          <w:kern w:val="0"/>
          <w:sz w:val="32"/>
          <w:szCs w:val="32"/>
          <w:highlight w:val="none"/>
          <w:shd w:val="clear" w:color="auto" w:fill="FFFFFF"/>
          <w:lang w:val="en-US" w:eastAsia="zh-CN" w:bidi="ar"/>
        </w:rPr>
        <w:t>对货车司机实行“即采即走即追”闭环管理，核酸检测结果全国互认通用，不得限制通行，有效期内不得重复要求检测，全面加强货车司机工作生活服务保障。</w:t>
      </w:r>
      <w:r>
        <w:rPr>
          <w:rFonts w:hint="eastAsia" w:ascii="方正楷体_GBK" w:hAnsi="方正楷体_GBK" w:eastAsia="方正楷体_GBK" w:cs="方正楷体_GBK"/>
          <w:b w:val="0"/>
          <w:bCs w:val="0"/>
          <w:color w:val="000000"/>
          <w:kern w:val="0"/>
          <w:sz w:val="32"/>
          <w:szCs w:val="32"/>
          <w:highlight w:val="none"/>
          <w:lang w:val="en-US" w:eastAsia="zh-CN" w:bidi="ar"/>
        </w:rPr>
        <w:t>（自治区交通运输厅、卫生健康委、公安厅，各盟行政公署、市人民政府）</w:t>
      </w:r>
    </w:p>
    <w:p>
      <w:pPr>
        <w:keepNext w:val="0"/>
        <w:keepLines w:val="0"/>
        <w:pageBreakBefore w:val="0"/>
        <w:kinsoku/>
        <w:wordWrap/>
        <w:overflowPunct w:val="0"/>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 w:val="0"/>
          <w:bCs w:val="0"/>
          <w:color w:val="000000"/>
          <w:kern w:val="0"/>
          <w:sz w:val="32"/>
          <w:szCs w:val="32"/>
          <w:highlight w:val="none"/>
          <w:lang w:val="en-US" w:eastAsia="zh-CN" w:bidi="ar"/>
        </w:rPr>
      </w:pPr>
      <w:r>
        <w:rPr>
          <w:rFonts w:hint="eastAsia" w:ascii="方正仿宋_GBK" w:hAnsi="方正仿宋_GBK" w:eastAsia="方正仿宋_GBK" w:cs="方正仿宋_GBK"/>
          <w:b w:val="0"/>
          <w:bCs w:val="0"/>
          <w:i w:val="0"/>
          <w:caps w:val="0"/>
          <w:color w:val="000000"/>
          <w:spacing w:val="0"/>
          <w:kern w:val="0"/>
          <w:sz w:val="32"/>
          <w:szCs w:val="32"/>
          <w:highlight w:val="none"/>
          <w:shd w:val="clear" w:color="auto" w:fill="FFFFFF"/>
          <w:lang w:val="en-US" w:eastAsia="zh-CN" w:bidi="ar"/>
        </w:rPr>
        <w:t>（六）对新冠肺炎疫情防控隔离产生的食宿、运输、物资采购等应付款，要在2022年5月底前全部清偿完毕。对新增采购项目，可提前预付费用，严禁拖欠。</w:t>
      </w:r>
      <w:r>
        <w:rPr>
          <w:rFonts w:hint="eastAsia" w:ascii="方正楷体_GBK" w:hAnsi="方正楷体_GBK" w:eastAsia="方正楷体_GBK" w:cs="方正楷体_GBK"/>
          <w:b w:val="0"/>
          <w:bCs w:val="0"/>
          <w:color w:val="000000"/>
          <w:kern w:val="0"/>
          <w:sz w:val="32"/>
          <w:szCs w:val="32"/>
          <w:highlight w:val="none"/>
          <w:lang w:val="en-US" w:eastAsia="zh-CN" w:bidi="ar"/>
        </w:rPr>
        <w:t>（各盟行政公署、市人民政府）</w:t>
      </w:r>
    </w:p>
    <w:p>
      <w:pPr>
        <w:keepNext w:val="0"/>
        <w:keepLines w:val="0"/>
        <w:pageBreakBefore w:val="0"/>
        <w:kinsoku/>
        <w:wordWrap/>
        <w:overflowPunct w:val="0"/>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 w:val="0"/>
          <w:bCs w:val="0"/>
          <w:color w:val="000000"/>
          <w:kern w:val="0"/>
          <w:sz w:val="32"/>
          <w:szCs w:val="32"/>
          <w:highlight w:val="none"/>
          <w:lang w:val="en-US" w:eastAsia="zh-CN" w:bidi="ar"/>
        </w:rPr>
      </w:pPr>
      <w:r>
        <w:rPr>
          <w:rFonts w:hint="eastAsia" w:ascii="方正仿宋_GBK" w:hAnsi="方正仿宋_GBK" w:eastAsia="方正仿宋_GBK" w:cs="方正仿宋_GBK"/>
          <w:b w:val="0"/>
          <w:bCs w:val="0"/>
          <w:color w:val="000000"/>
          <w:kern w:val="0"/>
          <w:sz w:val="32"/>
          <w:szCs w:val="32"/>
          <w:highlight w:val="none"/>
          <w:lang w:val="en-US" w:eastAsia="zh-CN" w:bidi="ar"/>
        </w:rPr>
        <w:t>（七）</w:t>
      </w:r>
      <w:r>
        <w:rPr>
          <w:rFonts w:hint="eastAsia" w:ascii="方正仿宋_GBK" w:hAnsi="方正仿宋_GBK" w:eastAsia="方正仿宋_GBK" w:cs="方正仿宋_GBK"/>
          <w:b w:val="0"/>
          <w:bCs w:val="0"/>
          <w:i w:val="0"/>
          <w:caps w:val="0"/>
          <w:color w:val="000000"/>
          <w:spacing w:val="0"/>
          <w:kern w:val="0"/>
          <w:sz w:val="32"/>
          <w:szCs w:val="32"/>
          <w:highlight w:val="none"/>
          <w:u w:val="none"/>
          <w:shd w:val="clear" w:color="auto" w:fill="FFFFFF"/>
          <w:lang w:val="en-US" w:eastAsia="zh-CN" w:bidi="ar"/>
        </w:rPr>
        <w:t>严格落实自治区国资委《关于自治区区属国有企业减免服务业小微企业和个体工商户房屋租金的通知》要求，地方所属国有企业参照执行。鼓励非国有房屋租赁主体在平等协商的基础上合理分担新冠肺炎疫情带来的损失。对减免租金的房屋业主纳税确有困难的，按规定减免房产税、城镇土地使用税。</w:t>
      </w:r>
      <w:r>
        <w:rPr>
          <w:rFonts w:hint="eastAsia" w:ascii="方正楷体_GBK" w:hAnsi="方正楷体_GBK" w:eastAsia="方正楷体_GBK" w:cs="方正楷体_GBK"/>
          <w:b w:val="0"/>
          <w:bCs w:val="0"/>
          <w:color w:val="000000"/>
          <w:kern w:val="0"/>
          <w:sz w:val="32"/>
          <w:szCs w:val="32"/>
          <w:highlight w:val="none"/>
          <w:lang w:val="en-US" w:eastAsia="zh-CN" w:bidi="ar"/>
        </w:rPr>
        <w:t>（自治区住房城乡建设厅、财政厅，内蒙古税务局，各盟行政公署、市人民政府）</w:t>
      </w:r>
    </w:p>
    <w:p>
      <w:pPr>
        <w:keepNext w:val="0"/>
        <w:keepLines w:val="0"/>
        <w:pageBreakBefore w:val="0"/>
        <w:numPr>
          <w:ilvl w:val="0"/>
          <w:numId w:val="0"/>
        </w:numPr>
        <w:kinsoku/>
        <w:wordWrap/>
        <w:overflowPunct w:val="0"/>
        <w:topLinePunct/>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b w:val="0"/>
          <w:bCs w:val="0"/>
          <w:i w:val="0"/>
          <w:caps w:val="0"/>
          <w:color w:val="000000"/>
          <w:spacing w:val="0"/>
          <w:kern w:val="0"/>
          <w:sz w:val="32"/>
          <w:szCs w:val="32"/>
          <w:highlight w:val="none"/>
          <w:shd w:val="clear" w:color="auto" w:fill="FFFFFF"/>
          <w:lang w:val="en-US" w:eastAsia="zh-CN" w:bidi="ar"/>
        </w:rPr>
      </w:pPr>
      <w:r>
        <w:rPr>
          <w:rFonts w:hint="eastAsia" w:ascii="方正黑体_GBK" w:hAnsi="方正黑体_GBK" w:eastAsia="方正黑体_GBK" w:cs="方正黑体_GBK"/>
          <w:b w:val="0"/>
          <w:bCs w:val="0"/>
          <w:i w:val="0"/>
          <w:caps w:val="0"/>
          <w:color w:val="000000"/>
          <w:spacing w:val="0"/>
          <w:kern w:val="0"/>
          <w:sz w:val="32"/>
          <w:szCs w:val="32"/>
          <w:highlight w:val="none"/>
          <w:shd w:val="clear" w:color="auto" w:fill="FFFFFF"/>
          <w:lang w:val="en-US" w:eastAsia="zh-CN" w:bidi="ar"/>
        </w:rPr>
        <w:t>三、加强融资担保支持</w:t>
      </w:r>
    </w:p>
    <w:p>
      <w:pPr>
        <w:keepNext w:val="0"/>
        <w:keepLines w:val="0"/>
        <w:pageBreakBefore w:val="0"/>
        <w:kinsoku/>
        <w:wordWrap/>
        <w:overflowPunct w:val="0"/>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 w:val="0"/>
          <w:bCs w:val="0"/>
          <w:color w:val="000000"/>
          <w:kern w:val="0"/>
          <w:sz w:val="32"/>
          <w:szCs w:val="32"/>
          <w:highlight w:val="none"/>
          <w:lang w:val="en-US" w:eastAsia="zh-CN" w:bidi="ar"/>
        </w:rPr>
      </w:pPr>
      <w:r>
        <w:rPr>
          <w:rFonts w:hint="eastAsia" w:ascii="方正仿宋_GBK" w:hAnsi="方正仿宋_GBK" w:eastAsia="方正仿宋_GBK" w:cs="方正仿宋_GBK"/>
          <w:b w:val="0"/>
          <w:bCs w:val="0"/>
          <w:i w:val="0"/>
          <w:caps w:val="0"/>
          <w:color w:val="000000"/>
          <w:spacing w:val="0"/>
          <w:kern w:val="0"/>
          <w:sz w:val="32"/>
          <w:szCs w:val="32"/>
          <w:highlight w:val="none"/>
          <w:shd w:val="clear" w:color="auto" w:fill="FFFFFF"/>
          <w:lang w:val="en-US" w:eastAsia="zh-CN" w:bidi="ar"/>
        </w:rPr>
        <w:t>（八）做好延期还本付息政策接续，不得盲目惜贷、抽贷、断贷、压贷。对因新冠肺炎疫情影响暂时经营困难、确有还款意愿的接触性聚集性服务业企业、个体工商户，灵活采取展期、续贷、调整还款方式、延后还款期限等形式给予支持。</w:t>
      </w:r>
      <w:r>
        <w:rPr>
          <w:rFonts w:hint="eastAsia" w:ascii="方正楷体_GBK" w:hAnsi="方正楷体_GBK" w:eastAsia="方正楷体_GBK" w:cs="方正楷体_GBK"/>
          <w:b w:val="0"/>
          <w:bCs w:val="0"/>
          <w:color w:val="000000"/>
          <w:kern w:val="0"/>
          <w:sz w:val="32"/>
          <w:szCs w:val="32"/>
          <w:highlight w:val="none"/>
          <w:lang w:val="en-US" w:eastAsia="zh-CN" w:bidi="ar"/>
        </w:rPr>
        <w:t>（自治区地方金融监管局、内蒙古银保监局、人民银行呼和浩特中心支行，各盟行政公署、市人民政府）</w:t>
      </w:r>
    </w:p>
    <w:p>
      <w:pPr>
        <w:keepNext w:val="0"/>
        <w:keepLines w:val="0"/>
        <w:pageBreakBefore w:val="0"/>
        <w:kinsoku/>
        <w:wordWrap/>
        <w:overflowPunct w:val="0"/>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 w:val="0"/>
          <w:bCs w:val="0"/>
          <w:color w:val="000000"/>
          <w:kern w:val="0"/>
          <w:sz w:val="32"/>
          <w:szCs w:val="32"/>
          <w:highlight w:val="none"/>
          <w:lang w:val="en-US" w:eastAsia="zh-CN" w:bidi="ar"/>
        </w:rPr>
      </w:pPr>
      <w:r>
        <w:rPr>
          <w:rFonts w:hint="eastAsia" w:ascii="方正仿宋_GBK" w:hAnsi="方正仿宋_GBK" w:eastAsia="方正仿宋_GBK" w:cs="方正仿宋_GBK"/>
          <w:b w:val="0"/>
          <w:bCs w:val="0"/>
          <w:i w:val="0"/>
          <w:caps w:val="0"/>
          <w:color w:val="000000"/>
          <w:spacing w:val="0"/>
          <w:kern w:val="0"/>
          <w:sz w:val="32"/>
          <w:szCs w:val="32"/>
          <w:highlight w:val="none"/>
          <w:shd w:val="clear" w:color="auto" w:fill="FFFFFF"/>
          <w:lang w:val="en-US" w:eastAsia="zh-CN" w:bidi="ar"/>
        </w:rPr>
        <w:t>（九）不断提升接触性聚集性服务业企业、个体工商户融资可得性和便利度，积极推广“信易贷”“政采贷”“银税互动”“蒙享贷”等线上融资模式。</w:t>
      </w:r>
      <w:r>
        <w:rPr>
          <w:rFonts w:hint="eastAsia" w:ascii="方正仿宋_GBK" w:hAnsi="方正仿宋_GBK" w:eastAsia="方正仿宋_GBK" w:cs="方正仿宋_GBK"/>
          <w:b w:val="0"/>
          <w:bCs w:val="0"/>
          <w:i w:val="0"/>
          <w:caps w:val="0"/>
          <w:color w:val="auto"/>
          <w:spacing w:val="0"/>
          <w:kern w:val="0"/>
          <w:sz w:val="32"/>
          <w:szCs w:val="32"/>
          <w:highlight w:val="none"/>
          <w:shd w:val="clear" w:color="auto" w:fill="FFFFFF"/>
          <w:lang w:val="en-US" w:eastAsia="zh-CN" w:bidi="ar"/>
        </w:rPr>
        <w:t>鼓励各地区担保机构扩大对上述产品的担保规模，按照各级各类担保公司的担保额，自治区财政给予融资担保奖补和风险补偿。</w:t>
      </w:r>
      <w:r>
        <w:rPr>
          <w:rFonts w:hint="eastAsia" w:ascii="方正楷体_GBK" w:hAnsi="方正楷体_GBK" w:eastAsia="方正楷体_GBK" w:cs="方正楷体_GBK"/>
          <w:b w:val="0"/>
          <w:bCs w:val="0"/>
          <w:color w:val="000000"/>
          <w:kern w:val="0"/>
          <w:sz w:val="32"/>
          <w:szCs w:val="32"/>
          <w:highlight w:val="none"/>
          <w:lang w:val="en-US" w:eastAsia="zh-CN" w:bidi="ar"/>
        </w:rPr>
        <w:t>（自治区地方金融监管局、财政厅，内蒙古银保监局、人民银行呼和浩特中心支行，各盟行政公署、市人民政府）</w:t>
      </w:r>
    </w:p>
    <w:p>
      <w:pPr>
        <w:keepNext w:val="0"/>
        <w:keepLines w:val="0"/>
        <w:pageBreakBefore w:val="0"/>
        <w:kinsoku/>
        <w:wordWrap/>
        <w:overflowPunct w:val="0"/>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 w:val="0"/>
          <w:bCs w:val="0"/>
          <w:color w:val="000000"/>
          <w:kern w:val="0"/>
          <w:sz w:val="32"/>
          <w:szCs w:val="32"/>
          <w:highlight w:val="none"/>
          <w:lang w:val="en-US" w:eastAsia="zh-CN" w:bidi="ar"/>
        </w:rPr>
      </w:pPr>
      <w:r>
        <w:rPr>
          <w:rFonts w:hint="eastAsia" w:ascii="方正仿宋_GBK" w:hAnsi="方正仿宋_GBK" w:eastAsia="方正仿宋_GBK" w:cs="方正仿宋_GBK"/>
          <w:b w:val="0"/>
          <w:bCs w:val="0"/>
          <w:i w:val="0"/>
          <w:caps w:val="0"/>
          <w:color w:val="000000"/>
          <w:spacing w:val="0"/>
          <w:kern w:val="0"/>
          <w:sz w:val="32"/>
          <w:szCs w:val="32"/>
          <w:highlight w:val="none"/>
          <w:shd w:val="clear" w:color="auto" w:fill="FFFFFF"/>
          <w:lang w:val="en-US" w:eastAsia="zh-CN" w:bidi="ar"/>
        </w:rPr>
        <w:t>（十）扩大“助保贷”支持范围，为接触性聚集性服务业企业提供担保。</w:t>
      </w:r>
      <w:r>
        <w:rPr>
          <w:rFonts w:hint="eastAsia" w:ascii="方正楷体_GBK" w:hAnsi="方正楷体_GBK" w:eastAsia="方正楷体_GBK" w:cs="方正楷体_GBK"/>
          <w:b w:val="0"/>
          <w:bCs w:val="0"/>
          <w:color w:val="000000"/>
          <w:kern w:val="0"/>
          <w:sz w:val="32"/>
          <w:szCs w:val="32"/>
          <w:highlight w:val="none"/>
          <w:lang w:val="en-US" w:eastAsia="zh-CN" w:bidi="ar"/>
        </w:rPr>
        <w:t>（自治区财政厅、商务厅、工业和信息化厅，各盟行政公署、市人民政府）</w:t>
      </w:r>
    </w:p>
    <w:p>
      <w:pPr>
        <w:keepNext w:val="0"/>
        <w:keepLines w:val="0"/>
        <w:pageBreakBefore w:val="0"/>
        <w:numPr>
          <w:ilvl w:val="0"/>
          <w:numId w:val="0"/>
        </w:numPr>
        <w:kinsoku/>
        <w:wordWrap/>
        <w:overflowPunct w:val="0"/>
        <w:topLinePunct/>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b w:val="0"/>
          <w:bCs w:val="0"/>
          <w:i w:val="0"/>
          <w:caps w:val="0"/>
          <w:color w:val="000000"/>
          <w:spacing w:val="0"/>
          <w:kern w:val="0"/>
          <w:sz w:val="32"/>
          <w:szCs w:val="32"/>
          <w:highlight w:val="none"/>
          <w:shd w:val="clear" w:color="auto" w:fill="FFFFFF"/>
          <w:lang w:val="en-US" w:eastAsia="zh-CN" w:bidi="ar"/>
        </w:rPr>
      </w:pPr>
      <w:r>
        <w:rPr>
          <w:rFonts w:hint="eastAsia" w:ascii="方正黑体_GBK" w:hAnsi="方正黑体_GBK" w:eastAsia="方正黑体_GBK" w:cs="方正黑体_GBK"/>
          <w:b w:val="0"/>
          <w:bCs w:val="0"/>
          <w:i w:val="0"/>
          <w:caps w:val="0"/>
          <w:color w:val="000000"/>
          <w:spacing w:val="0"/>
          <w:kern w:val="0"/>
          <w:sz w:val="32"/>
          <w:szCs w:val="32"/>
          <w:highlight w:val="none"/>
          <w:shd w:val="clear" w:color="auto" w:fill="FFFFFF"/>
          <w:lang w:val="en-US" w:eastAsia="zh-CN" w:bidi="ar"/>
        </w:rPr>
        <w:t>四、全面激活消费市场</w:t>
      </w:r>
    </w:p>
    <w:p>
      <w:pPr>
        <w:keepNext w:val="0"/>
        <w:keepLines w:val="0"/>
        <w:pageBreakBefore w:val="0"/>
        <w:numPr>
          <w:ilvl w:val="0"/>
          <w:numId w:val="0"/>
        </w:numPr>
        <w:kinsoku/>
        <w:wordWrap/>
        <w:overflowPunct w:val="0"/>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 w:val="0"/>
          <w:bCs w:val="0"/>
          <w:color w:val="000000"/>
          <w:kern w:val="0"/>
          <w:sz w:val="32"/>
          <w:szCs w:val="32"/>
          <w:highlight w:val="none"/>
          <w:lang w:val="en-US" w:eastAsia="zh-CN" w:bidi="ar"/>
        </w:rPr>
      </w:pPr>
      <w:r>
        <w:rPr>
          <w:rFonts w:hint="eastAsia" w:ascii="方正仿宋_GBK" w:hAnsi="方正仿宋_GBK" w:eastAsia="方正仿宋_GBK" w:cs="方正仿宋_GBK"/>
          <w:b w:val="0"/>
          <w:bCs w:val="0"/>
          <w:i w:val="0"/>
          <w:caps w:val="0"/>
          <w:color w:val="000000"/>
          <w:spacing w:val="0"/>
          <w:kern w:val="0"/>
          <w:sz w:val="32"/>
          <w:szCs w:val="32"/>
          <w:highlight w:val="none"/>
          <w:shd w:val="clear" w:color="auto" w:fill="FFFFFF"/>
          <w:lang w:val="en-US" w:eastAsia="zh-CN" w:bidi="ar"/>
        </w:rPr>
        <w:t>（十一）鼓励和引导大型电商平台制定降费纾困政策，进一步降低各类佣金，切实减轻商户负担。</w:t>
      </w:r>
      <w:r>
        <w:rPr>
          <w:rFonts w:hint="eastAsia" w:ascii="方正楷体_GBK" w:hAnsi="方正楷体_GBK" w:eastAsia="方正楷体_GBK" w:cs="方正楷体_GBK"/>
          <w:b w:val="0"/>
          <w:bCs w:val="0"/>
          <w:color w:val="000000"/>
          <w:kern w:val="0"/>
          <w:sz w:val="32"/>
          <w:szCs w:val="32"/>
          <w:highlight w:val="none"/>
          <w:lang w:val="en-US" w:eastAsia="zh-CN" w:bidi="ar"/>
        </w:rPr>
        <w:t>（自治区商务厅，各盟行政公署、市人民政府）</w:t>
      </w:r>
    </w:p>
    <w:p>
      <w:pPr>
        <w:keepNext w:val="0"/>
        <w:keepLines w:val="0"/>
        <w:pageBreakBefore w:val="0"/>
        <w:kinsoku/>
        <w:wordWrap/>
        <w:overflowPunct w:val="0"/>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 w:val="0"/>
          <w:bCs w:val="0"/>
          <w:color w:val="000000"/>
          <w:kern w:val="0"/>
          <w:sz w:val="32"/>
          <w:szCs w:val="32"/>
          <w:highlight w:val="none"/>
          <w:lang w:val="en-US" w:eastAsia="zh-CN" w:bidi="ar"/>
        </w:rPr>
      </w:pPr>
      <w:r>
        <w:rPr>
          <w:rFonts w:hint="eastAsia" w:ascii="方正仿宋_GBK" w:hAnsi="方正仿宋_GBK" w:eastAsia="方正仿宋_GBK" w:cs="方正仿宋_GBK"/>
          <w:b w:val="0"/>
          <w:bCs w:val="0"/>
          <w:i w:val="0"/>
          <w:caps w:val="0"/>
          <w:color w:val="000000"/>
          <w:spacing w:val="0"/>
          <w:kern w:val="0"/>
          <w:sz w:val="32"/>
          <w:szCs w:val="32"/>
          <w:highlight w:val="none"/>
          <w:shd w:val="clear" w:color="auto" w:fill="FFFFFF"/>
          <w:lang w:val="en-US" w:eastAsia="zh-CN" w:bidi="ar"/>
        </w:rPr>
        <w:t>（十二）聚焦“五一”、端午节等节假日，组织“双品网购节”“欢购五一”“汽车团购”“美食荟”等促销活动600场以上。</w:t>
      </w:r>
      <w:r>
        <w:rPr>
          <w:rFonts w:hint="eastAsia" w:ascii="方正楷体_GBK" w:hAnsi="方正楷体_GBK" w:eastAsia="方正楷体_GBK" w:cs="方正楷体_GBK"/>
          <w:b w:val="0"/>
          <w:bCs w:val="0"/>
          <w:color w:val="000000"/>
          <w:kern w:val="0"/>
          <w:sz w:val="32"/>
          <w:szCs w:val="32"/>
          <w:highlight w:val="none"/>
          <w:lang w:val="en-US" w:eastAsia="zh-CN" w:bidi="ar"/>
        </w:rPr>
        <w:t>（自治区商务厅，各盟行政公署、市人民政府）</w:t>
      </w:r>
    </w:p>
    <w:p>
      <w:pPr>
        <w:keepNext w:val="0"/>
        <w:keepLines w:val="0"/>
        <w:pageBreakBefore w:val="0"/>
        <w:kinsoku/>
        <w:wordWrap/>
        <w:overflowPunct w:val="0"/>
        <w:topLinePunct/>
        <w:autoSpaceDE/>
        <w:autoSpaceDN/>
        <w:bidi w:val="0"/>
        <w:adjustRightInd/>
        <w:snapToGrid/>
        <w:spacing w:line="580" w:lineRule="exact"/>
        <w:ind w:left="0" w:leftChars="0" w:firstLine="579" w:firstLineChars="181"/>
        <w:jc w:val="both"/>
        <w:textAlignment w:val="auto"/>
        <w:rPr>
          <w:rFonts w:hint="eastAsia" w:ascii="方正楷体_GBK" w:hAnsi="方正楷体_GBK" w:eastAsia="方正楷体_GBK" w:cs="方正楷体_GBK"/>
          <w:b w:val="0"/>
          <w:bCs w:val="0"/>
          <w:color w:val="000000"/>
          <w:kern w:val="0"/>
          <w:sz w:val="32"/>
          <w:szCs w:val="32"/>
          <w:highlight w:val="none"/>
          <w:lang w:val="en-US" w:eastAsia="zh-CN" w:bidi="ar"/>
        </w:rPr>
      </w:pPr>
      <w:r>
        <w:rPr>
          <w:rFonts w:hint="eastAsia" w:ascii="方正仿宋_GBK" w:hAnsi="方正仿宋_GBK" w:eastAsia="方正仿宋_GBK" w:cs="方正仿宋_GBK"/>
          <w:b w:val="0"/>
          <w:bCs w:val="0"/>
          <w:i w:val="0"/>
          <w:caps w:val="0"/>
          <w:color w:val="000000"/>
          <w:spacing w:val="0"/>
          <w:kern w:val="0"/>
          <w:sz w:val="32"/>
          <w:szCs w:val="32"/>
          <w:highlight w:val="none"/>
          <w:shd w:val="clear" w:color="auto" w:fill="FFFFFF"/>
          <w:lang w:val="en-US" w:eastAsia="zh-CN" w:bidi="ar"/>
        </w:rPr>
        <w:t>（十三）各地区安排一定规模的财政资金，发放消费抵用券，扩大住宿、餐饮、零售、旅游等消费规模。</w:t>
      </w:r>
      <w:r>
        <w:rPr>
          <w:rFonts w:hint="eastAsia" w:ascii="方正楷体_GBK" w:hAnsi="方正楷体_GBK" w:eastAsia="方正楷体_GBK" w:cs="方正楷体_GBK"/>
          <w:b w:val="0"/>
          <w:bCs w:val="0"/>
          <w:color w:val="000000"/>
          <w:kern w:val="0"/>
          <w:sz w:val="32"/>
          <w:szCs w:val="32"/>
          <w:highlight w:val="none"/>
          <w:lang w:val="en-US" w:eastAsia="zh-CN" w:bidi="ar"/>
        </w:rPr>
        <w:t>（自治区商务厅、财政厅、文化和旅游厅，各盟行政公署、市人民政府）</w:t>
      </w:r>
    </w:p>
    <w:p>
      <w:pPr>
        <w:keepNext w:val="0"/>
        <w:keepLines w:val="0"/>
        <w:pageBreakBefore w:val="0"/>
        <w:numPr>
          <w:ilvl w:val="0"/>
          <w:numId w:val="0"/>
        </w:numPr>
        <w:kinsoku/>
        <w:wordWrap/>
        <w:overflowPunct w:val="0"/>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 w:val="0"/>
          <w:bCs w:val="0"/>
          <w:color w:val="000000"/>
          <w:kern w:val="0"/>
          <w:sz w:val="32"/>
          <w:szCs w:val="32"/>
          <w:highlight w:val="none"/>
          <w:lang w:val="en-US" w:eastAsia="zh-CN" w:bidi="ar"/>
        </w:rPr>
      </w:pPr>
      <w:r>
        <w:rPr>
          <w:rFonts w:hint="eastAsia" w:ascii="方正仿宋_GBK" w:hAnsi="方正仿宋_GBK" w:eastAsia="方正仿宋_GBK" w:cs="方正仿宋_GBK"/>
          <w:b w:val="0"/>
          <w:bCs w:val="0"/>
          <w:i w:val="0"/>
          <w:caps w:val="0"/>
          <w:color w:val="000000"/>
          <w:spacing w:val="0"/>
          <w:kern w:val="0"/>
          <w:sz w:val="32"/>
          <w:szCs w:val="32"/>
          <w:highlight w:val="none"/>
          <w:shd w:val="clear" w:color="auto" w:fill="FFFFFF"/>
          <w:lang w:val="en-US" w:eastAsia="zh-CN" w:bidi="ar"/>
        </w:rPr>
        <w:t>（十四）本着能开尽开的原则，鼓励区内各类旅游景区、酒店民宿、健身娱乐场所有序恢复开放。推动各地区出台和落实文旅企业奖补政策。开展“内蒙古人游内蒙古”等本地游、周边游、乡村游活动，举办“5·19”旅游日、新媒体云发布会和“网红打卡地”评选等促销活动。</w:t>
      </w:r>
      <w:r>
        <w:rPr>
          <w:rFonts w:hint="eastAsia" w:ascii="方正楷体_GBK" w:hAnsi="方正楷体_GBK" w:eastAsia="方正楷体_GBK" w:cs="方正楷体_GBK"/>
          <w:b w:val="0"/>
          <w:bCs w:val="0"/>
          <w:color w:val="000000"/>
          <w:kern w:val="0"/>
          <w:sz w:val="32"/>
          <w:szCs w:val="32"/>
          <w:highlight w:val="none"/>
          <w:lang w:val="en-US" w:eastAsia="zh-CN" w:bidi="ar"/>
        </w:rPr>
        <w:t>（自治区文化和旅游厅、市场监管局，各盟行政公署、市人民政府）</w:t>
      </w:r>
    </w:p>
    <w:p>
      <w:pPr>
        <w:keepNext w:val="0"/>
        <w:keepLines w:val="0"/>
        <w:pageBreakBefore w:val="0"/>
        <w:numPr>
          <w:ilvl w:val="0"/>
          <w:numId w:val="0"/>
        </w:numPr>
        <w:kinsoku/>
        <w:wordWrap/>
        <w:overflowPunct w:val="0"/>
        <w:topLinePunct/>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b w:val="0"/>
          <w:bCs w:val="0"/>
          <w:i w:val="0"/>
          <w:caps w:val="0"/>
          <w:color w:val="000000"/>
          <w:spacing w:val="0"/>
          <w:kern w:val="0"/>
          <w:sz w:val="32"/>
          <w:szCs w:val="32"/>
          <w:highlight w:val="none"/>
          <w:shd w:val="clear" w:color="auto" w:fill="FFFFFF"/>
          <w:lang w:val="en-US" w:eastAsia="zh-CN" w:bidi="ar"/>
        </w:rPr>
      </w:pPr>
      <w:r>
        <w:rPr>
          <w:rFonts w:hint="eastAsia" w:ascii="方正黑体_GBK" w:hAnsi="方正黑体_GBK" w:eastAsia="方正黑体_GBK" w:cs="方正黑体_GBK"/>
          <w:b w:val="0"/>
          <w:bCs w:val="0"/>
          <w:i w:val="0"/>
          <w:caps w:val="0"/>
          <w:color w:val="000000"/>
          <w:spacing w:val="0"/>
          <w:kern w:val="0"/>
          <w:sz w:val="32"/>
          <w:szCs w:val="32"/>
          <w:highlight w:val="none"/>
          <w:shd w:val="clear" w:color="auto" w:fill="FFFFFF"/>
          <w:lang w:val="en-US" w:eastAsia="zh-CN" w:bidi="ar"/>
        </w:rPr>
        <w:t>五、加强组织保障</w:t>
      </w:r>
    </w:p>
    <w:p>
      <w:pPr>
        <w:keepNext w:val="0"/>
        <w:keepLines w:val="0"/>
        <w:pageBreakBefore w:val="0"/>
        <w:numPr>
          <w:ilvl w:val="0"/>
          <w:numId w:val="0"/>
        </w:numPr>
        <w:kinsoku/>
        <w:wordWrap/>
        <w:overflowPunct w:val="0"/>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 w:val="0"/>
          <w:bCs w:val="0"/>
          <w:color w:val="000000"/>
          <w:kern w:val="0"/>
          <w:sz w:val="32"/>
          <w:szCs w:val="32"/>
          <w:highlight w:val="none"/>
          <w:lang w:val="en-US" w:eastAsia="zh-CN" w:bidi="ar"/>
        </w:rPr>
      </w:pPr>
      <w:r>
        <w:rPr>
          <w:rFonts w:hint="eastAsia" w:ascii="方正仿宋_GBK" w:hAnsi="方正仿宋_GBK" w:eastAsia="方正仿宋_GBK" w:cs="方正仿宋_GBK"/>
          <w:b w:val="0"/>
          <w:bCs w:val="0"/>
          <w:i w:val="0"/>
          <w:caps w:val="0"/>
          <w:color w:val="000000"/>
          <w:spacing w:val="0"/>
          <w:kern w:val="0"/>
          <w:sz w:val="32"/>
          <w:szCs w:val="32"/>
          <w:highlight w:val="none"/>
          <w:shd w:val="clear" w:color="auto" w:fill="FFFFFF"/>
          <w:lang w:val="en-US" w:eastAsia="zh-CN" w:bidi="ar"/>
        </w:rPr>
        <w:t>（十五）建立市场监管领域轻微违法违规行为容错机制，为中小微企业、个体工商户和新业态、创新性企业在发展初期提供宽容制度环境。</w:t>
      </w:r>
      <w:r>
        <w:rPr>
          <w:rFonts w:hint="eastAsia" w:ascii="方正楷体_GBK" w:hAnsi="方正楷体_GBK" w:eastAsia="方正楷体_GBK" w:cs="方正楷体_GBK"/>
          <w:b w:val="0"/>
          <w:bCs w:val="0"/>
          <w:color w:val="000000"/>
          <w:kern w:val="0"/>
          <w:sz w:val="32"/>
          <w:szCs w:val="32"/>
          <w:highlight w:val="none"/>
          <w:lang w:val="en-US" w:eastAsia="zh-CN" w:bidi="ar"/>
        </w:rPr>
        <w:t>（自治区市场监管局）</w:t>
      </w:r>
    </w:p>
    <w:p>
      <w:pPr>
        <w:keepNext w:val="0"/>
        <w:keepLines w:val="0"/>
        <w:pageBreakBefore w:val="0"/>
        <w:kinsoku/>
        <w:wordWrap/>
        <w:overflowPunct w:val="0"/>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 w:val="0"/>
          <w:bCs w:val="0"/>
          <w:color w:val="000000"/>
          <w:kern w:val="0"/>
          <w:sz w:val="32"/>
          <w:szCs w:val="32"/>
          <w:highlight w:val="none"/>
          <w:lang w:val="en-US" w:eastAsia="zh-CN" w:bidi="ar"/>
        </w:rPr>
      </w:pPr>
      <w:r>
        <w:rPr>
          <w:rFonts w:hint="eastAsia" w:ascii="方正仿宋_GBK" w:hAnsi="方正仿宋_GBK" w:eastAsia="方正仿宋_GBK" w:cs="方正仿宋_GBK"/>
          <w:b w:val="0"/>
          <w:bCs w:val="0"/>
          <w:i w:val="0"/>
          <w:caps w:val="0"/>
          <w:color w:val="000000"/>
          <w:spacing w:val="0"/>
          <w:kern w:val="0"/>
          <w:sz w:val="32"/>
          <w:szCs w:val="32"/>
          <w:highlight w:val="none"/>
          <w:shd w:val="clear" w:color="auto" w:fill="FFFFFF"/>
          <w:lang w:val="en-US" w:eastAsia="zh-CN" w:bidi="ar"/>
        </w:rPr>
        <w:t>（十六）各地区各部门要细化落实举措，开展“送政策、送温暖”活动，加强宣传解读，抓好落实工作。各级工商联、行业协会、12345政务服务热线要切实发挥桥梁纽带作用，及时为市场主体排忧解难、做好服务。</w:t>
      </w:r>
      <w:r>
        <w:rPr>
          <w:rFonts w:hint="eastAsia" w:ascii="方正楷体_GBK" w:hAnsi="方正楷体_GBK" w:eastAsia="方正楷体_GBK" w:cs="方正楷体_GBK"/>
          <w:b w:val="0"/>
          <w:bCs w:val="0"/>
          <w:color w:val="000000"/>
          <w:kern w:val="0"/>
          <w:sz w:val="32"/>
          <w:szCs w:val="32"/>
          <w:highlight w:val="none"/>
          <w:lang w:val="en-US" w:eastAsia="zh-CN" w:bidi="ar"/>
        </w:rPr>
        <w:t>（自治区相关部门，各盟行政公署、市人民政府）</w:t>
      </w:r>
    </w:p>
    <w:p>
      <w:pPr>
        <w:keepNext w:val="0"/>
        <w:keepLines w:val="0"/>
        <w:pageBreakBefore w:val="0"/>
        <w:widowControl/>
        <w:suppressLineNumbers w:val="0"/>
        <w:kinsoku/>
        <w:wordWrap/>
        <w:overflowPunct w:val="0"/>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 w:val="0"/>
          <w:bCs w:val="0"/>
          <w:i w:val="0"/>
          <w:caps w:val="0"/>
          <w:color w:val="000000"/>
          <w:spacing w:val="0"/>
          <w:kern w:val="0"/>
          <w:sz w:val="32"/>
          <w:szCs w:val="32"/>
          <w:highlight w:val="none"/>
          <w:shd w:val="clear" w:color="auto" w:fill="FFFFFF"/>
          <w:lang w:val="en-US" w:eastAsia="zh-CN" w:bidi="ar"/>
        </w:rPr>
      </w:pPr>
      <w:r>
        <w:rPr>
          <w:rFonts w:hint="eastAsia" w:ascii="方正仿宋_GBK" w:hAnsi="方正仿宋_GBK" w:eastAsia="方正仿宋_GBK" w:cs="方正仿宋_GBK"/>
          <w:b w:val="0"/>
          <w:bCs w:val="0"/>
          <w:i w:val="0"/>
          <w:caps w:val="0"/>
          <w:color w:val="000000"/>
          <w:spacing w:val="0"/>
          <w:kern w:val="0"/>
          <w:sz w:val="32"/>
          <w:szCs w:val="32"/>
          <w:highlight w:val="none"/>
          <w:shd w:val="clear" w:color="auto" w:fill="FFFFFF"/>
          <w:lang w:val="en-US" w:eastAsia="zh-CN" w:bidi="ar"/>
        </w:rPr>
        <w:t>以上政策措施自印发之日起施行，有效期3个月，期满经评估后进行动态调整。具体政策已明确执行期限的，从其规定。</w:t>
      </w:r>
    </w:p>
    <w:p>
      <w:pPr>
        <w:keepNext w:val="0"/>
        <w:keepLines w:val="0"/>
        <w:pageBreakBefore w:val="0"/>
        <w:widowControl/>
        <w:suppressLineNumbers w:val="0"/>
        <w:kinsoku/>
        <w:wordWrap/>
        <w:overflowPunct w:val="0"/>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 w:val="0"/>
          <w:bCs w:val="0"/>
          <w:i w:val="0"/>
          <w:caps w:val="0"/>
          <w:color w:val="000000"/>
          <w:spacing w:val="0"/>
          <w:kern w:val="0"/>
          <w:sz w:val="32"/>
          <w:szCs w:val="32"/>
          <w:highlight w:val="none"/>
          <w:shd w:val="clear" w:color="auto" w:fill="FFFFFF"/>
          <w:lang w:val="en-US" w:eastAsia="zh-CN" w:bidi="ar"/>
        </w:rPr>
      </w:pPr>
    </w:p>
    <w:p>
      <w:pPr>
        <w:keepNext w:val="0"/>
        <w:keepLines w:val="0"/>
        <w:pageBreakBefore w:val="0"/>
        <w:widowControl/>
        <w:suppressLineNumbers w:val="0"/>
        <w:kinsoku/>
        <w:wordWrap/>
        <w:overflowPunct w:val="0"/>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 w:val="0"/>
          <w:bCs w:val="0"/>
          <w:i w:val="0"/>
          <w:caps w:val="0"/>
          <w:color w:val="000000"/>
          <w:spacing w:val="0"/>
          <w:kern w:val="0"/>
          <w:sz w:val="32"/>
          <w:szCs w:val="32"/>
          <w:highlight w:val="none"/>
          <w:shd w:val="clear" w:color="auto" w:fill="FFFFFF"/>
          <w:lang w:val="en-US" w:eastAsia="zh-CN" w:bidi="ar"/>
        </w:rPr>
      </w:pPr>
    </w:p>
    <w:p>
      <w:pPr>
        <w:keepNext w:val="0"/>
        <w:keepLines w:val="0"/>
        <w:pageBreakBefore w:val="0"/>
        <w:widowControl/>
        <w:suppressLineNumbers w:val="0"/>
        <w:kinsoku/>
        <w:wordWrap/>
        <w:overflowPunct w:val="0"/>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 w:val="0"/>
          <w:bCs w:val="0"/>
          <w:i w:val="0"/>
          <w:caps w:val="0"/>
          <w:color w:val="000000"/>
          <w:spacing w:val="0"/>
          <w:kern w:val="0"/>
          <w:sz w:val="32"/>
          <w:szCs w:val="32"/>
          <w:highlight w:val="none"/>
          <w:shd w:val="clear" w:color="auto" w:fill="FFFFFF"/>
          <w:lang w:val="en-US" w:eastAsia="zh-CN" w:bidi="ar"/>
        </w:rPr>
      </w:pPr>
    </w:p>
    <w:p>
      <w:pPr>
        <w:keepNext w:val="0"/>
        <w:keepLines w:val="0"/>
        <w:pageBreakBefore w:val="0"/>
        <w:widowControl/>
        <w:suppressLineNumbers w:val="0"/>
        <w:kinsoku/>
        <w:wordWrap/>
        <w:overflowPunct w:val="0"/>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 w:val="0"/>
          <w:bCs w:val="0"/>
          <w:i w:val="0"/>
          <w:caps w:val="0"/>
          <w:color w:val="000000"/>
          <w:spacing w:val="0"/>
          <w:kern w:val="0"/>
          <w:sz w:val="32"/>
          <w:szCs w:val="32"/>
          <w:highlight w:val="none"/>
          <w:shd w:val="clear" w:color="auto" w:fill="FFFFFF"/>
          <w:lang w:val="en-US" w:eastAsia="zh-CN" w:bidi="ar"/>
        </w:rPr>
      </w:pPr>
    </w:p>
    <w:p>
      <w:pPr>
        <w:keepNext w:val="0"/>
        <w:keepLines w:val="0"/>
        <w:pageBreakBefore w:val="0"/>
        <w:widowControl/>
        <w:suppressLineNumbers w:val="0"/>
        <w:kinsoku/>
        <w:wordWrap/>
        <w:overflowPunct w:val="0"/>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 w:val="0"/>
          <w:bCs w:val="0"/>
          <w:i w:val="0"/>
          <w:caps w:val="0"/>
          <w:color w:val="000000"/>
          <w:spacing w:val="0"/>
          <w:kern w:val="0"/>
          <w:sz w:val="32"/>
          <w:szCs w:val="32"/>
          <w:highlight w:val="none"/>
          <w:shd w:val="clear" w:color="auto" w:fill="FFFFFF"/>
          <w:lang w:val="en-US" w:eastAsia="zh-CN" w:bidi="ar"/>
        </w:rPr>
      </w:pPr>
      <w:r>
        <w:rPr>
          <w:rFonts w:hint="eastAsia" w:ascii="方正仿宋_GBK" w:hAnsi="方正仿宋_GBK" w:eastAsia="方正仿宋_GBK" w:cs="方正仿宋_GBK"/>
          <w:b w:val="0"/>
          <w:bCs w:val="0"/>
          <w:i w:val="0"/>
          <w:caps w:val="0"/>
          <w:color w:val="000000"/>
          <w:spacing w:val="0"/>
          <w:kern w:val="0"/>
          <w:sz w:val="32"/>
          <w:szCs w:val="32"/>
          <w:highlight w:val="none"/>
          <w:shd w:val="clear" w:color="auto" w:fill="FFFFFF"/>
          <w:lang w:val="en-US" w:eastAsia="zh-CN" w:bidi="ar"/>
        </w:rPr>
        <w:t xml:space="preserve">                             2022年4月29日</w:t>
      </w:r>
    </w:p>
    <w:p>
      <w:pPr>
        <w:keepNext w:val="0"/>
        <w:keepLines w:val="0"/>
        <w:pageBreakBefore w:val="0"/>
        <w:widowControl/>
        <w:suppressLineNumbers w:val="0"/>
        <w:kinsoku/>
        <w:wordWrap/>
        <w:overflowPunct w:val="0"/>
        <w:topLinePunct/>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b w:val="0"/>
          <w:bCs w:val="0"/>
          <w:i w:val="0"/>
          <w:caps w:val="0"/>
          <w:color w:val="000000"/>
          <w:spacing w:val="0"/>
          <w:kern w:val="0"/>
          <w:sz w:val="32"/>
          <w:szCs w:val="32"/>
          <w:highlight w:val="none"/>
          <w:shd w:val="clear" w:color="auto" w:fill="FFFFFF"/>
          <w:lang w:val="en-US" w:eastAsia="zh-CN" w:bidi="ar"/>
        </w:rPr>
      </w:pPr>
      <w:r>
        <w:rPr>
          <w:rFonts w:hint="eastAsia" w:ascii="方正仿宋_GBK" w:hAnsi="方正仿宋_GBK" w:eastAsia="方正仿宋_GBK" w:cs="方正仿宋_GBK"/>
          <w:b w:val="0"/>
          <w:bCs w:val="0"/>
          <w:i w:val="0"/>
          <w:caps w:val="0"/>
          <w:color w:val="000000"/>
          <w:spacing w:val="0"/>
          <w:kern w:val="0"/>
          <w:sz w:val="32"/>
          <w:szCs w:val="32"/>
          <w:highlight w:val="none"/>
          <w:shd w:val="clear" w:color="auto" w:fill="FFFFFF"/>
          <w:lang w:val="en-US" w:eastAsia="zh-CN" w:bidi="ar"/>
        </w:rPr>
        <w:t>（此件公开发布）</w:t>
      </w:r>
    </w:p>
    <w:p>
      <w:pPr>
        <w:keepNext w:val="0"/>
        <w:keepLines w:val="0"/>
        <w:pageBreakBefore w:val="0"/>
        <w:widowControl/>
        <w:suppressLineNumbers w:val="0"/>
        <w:kinsoku/>
        <w:wordWrap/>
        <w:overflowPunct w:val="0"/>
        <w:topLinePunct/>
        <w:autoSpaceDE/>
        <w:autoSpaceDN/>
        <w:bidi w:val="0"/>
        <w:adjustRightInd/>
        <w:snapToGrid/>
        <w:spacing w:line="580" w:lineRule="exact"/>
        <w:ind w:firstLine="640" w:firstLineChars="200"/>
        <w:jc w:val="right"/>
        <w:textAlignment w:val="auto"/>
        <w:rPr>
          <w:rFonts w:hint="default" w:ascii="Times New Roman" w:hAnsi="Times New Roman" w:eastAsia="方正仿宋_GBK" w:cs="Times New Roman"/>
          <w:b w:val="0"/>
          <w:bCs w:val="0"/>
          <w:i w:val="0"/>
          <w:caps w:val="0"/>
          <w:color w:val="000000"/>
          <w:spacing w:val="0"/>
          <w:kern w:val="0"/>
          <w:sz w:val="32"/>
          <w:szCs w:val="32"/>
          <w:highlight w:val="none"/>
          <w:shd w:val="clear" w:color="auto" w:fill="FFFFFF"/>
          <w:lang w:val="en-US" w:eastAsia="zh-CN" w:bidi="ar"/>
        </w:rPr>
      </w:pPr>
    </w:p>
    <w:p>
      <w:pPr>
        <w:spacing w:line="560" w:lineRule="exact"/>
        <w:rPr>
          <w:rFonts w:hint="eastAsia" w:ascii="仿宋_GB2312" w:hAnsi="仿宋_GB2312" w:eastAsia="仿宋_GB2312" w:cs="仿宋_GB2312"/>
          <w:bCs/>
          <w:color w:val="000000"/>
          <w:sz w:val="32"/>
          <w:szCs w:val="32"/>
        </w:rPr>
      </w:pPr>
    </w:p>
    <w:p>
      <w:pPr>
        <w:spacing w:line="560" w:lineRule="exact"/>
        <w:rPr>
          <w:rFonts w:hint="eastAsia" w:ascii="仿宋_GB2312" w:hAnsi="仿宋_GB2312" w:eastAsia="仿宋_GB2312" w:cs="仿宋_GB2312"/>
          <w:bCs/>
          <w:color w:val="000000"/>
          <w:sz w:val="32"/>
          <w:szCs w:val="32"/>
        </w:rPr>
      </w:pPr>
    </w:p>
    <w:p>
      <w:pPr>
        <w:pStyle w:val="2"/>
        <w:keepNext w:val="0"/>
        <w:keepLines w:val="0"/>
        <w:pageBreakBefore w:val="0"/>
        <w:widowControl w:val="0"/>
        <w:tabs>
          <w:tab w:val="left" w:pos="7560"/>
        </w:tabs>
        <w:kinsoku/>
        <w:wordWrap/>
        <w:overflowPunct/>
        <w:topLinePunct w:val="0"/>
        <w:autoSpaceDE/>
        <w:autoSpaceDN/>
        <w:bidi w:val="0"/>
        <w:adjustRightInd/>
        <w:snapToGrid/>
        <w:spacing w:line="400" w:lineRule="exact"/>
        <w:ind w:left="4520" w:leftChars="2058" w:hanging="198" w:hangingChars="62"/>
        <w:jc w:val="right"/>
        <w:textAlignment w:val="auto"/>
        <w:rPr>
          <w:rFonts w:hint="eastAsia" w:ascii="黑体" w:eastAsia="黑体"/>
        </w:rPr>
      </w:pPr>
    </w:p>
    <w:p>
      <w:pPr>
        <w:rPr>
          <w:rFonts w:hint="eastAsia" w:ascii="黑体" w:eastAsia="黑体"/>
        </w:rPr>
      </w:pPr>
    </w:p>
    <w:p>
      <w:pPr>
        <w:rPr>
          <w:rFonts w:hint="eastAsia" w:ascii="黑体" w:eastAsia="黑体"/>
        </w:rPr>
      </w:pPr>
    </w:p>
    <w:p>
      <w:pPr>
        <w:rPr>
          <w:rFonts w:hint="eastAsia" w:ascii="黑体" w:eastAsia="黑体"/>
        </w:rPr>
      </w:pPr>
    </w:p>
    <w:p>
      <w:pPr>
        <w:pStyle w:val="2"/>
        <w:keepNext w:val="0"/>
        <w:keepLines w:val="0"/>
        <w:pageBreakBefore w:val="0"/>
        <w:widowControl w:val="0"/>
        <w:tabs>
          <w:tab w:val="left" w:pos="7560"/>
        </w:tabs>
        <w:kinsoku/>
        <w:wordWrap/>
        <w:overflowPunct/>
        <w:topLinePunct w:val="0"/>
        <w:autoSpaceDE/>
        <w:autoSpaceDN/>
        <w:bidi w:val="0"/>
        <w:adjustRightInd/>
        <w:snapToGrid/>
        <w:spacing w:line="400" w:lineRule="exact"/>
        <w:ind w:left="4520" w:leftChars="2058" w:hanging="198" w:hangingChars="62"/>
        <w:jc w:val="right"/>
        <w:textAlignment w:val="auto"/>
        <w:rPr>
          <w:rFonts w:hint="eastAsia" w:ascii="黑体" w:eastAsia="黑体"/>
        </w:rPr>
      </w:pPr>
      <w:r>
        <w:rPr>
          <w:rFonts w:hint="eastAsia" w:ascii="黑体" w:eastAsia="黑体"/>
        </w:rPr>
        <w:t xml:space="preserve"> </w:t>
      </w:r>
    </w:p>
    <w:tbl>
      <w:tblPr>
        <w:tblStyle w:val="5"/>
        <w:tblpPr w:leftFromText="180" w:rightFromText="180" w:vertAnchor="text" w:horzAnchor="margin" w:tblpY="489"/>
        <w:tblW w:w="0" w:type="auto"/>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31" w:type="dxa"/>
            <w:noWrap w:val="0"/>
            <w:vAlign w:val="top"/>
          </w:tcPr>
          <w:p>
            <w:pPr>
              <w:spacing w:line="400" w:lineRule="exact"/>
              <w:ind w:firstLine="280" w:firstLineChars="100"/>
              <w:rPr>
                <w:rFonts w:ascii="仿宋_GB2312" w:eastAsia="仿宋_GB2312"/>
                <w:sz w:val="28"/>
              </w:rPr>
            </w:pPr>
            <w:r>
              <w:rPr>
                <w:rFonts w:hint="eastAsia" w:ascii="仿宋_GB2312" w:eastAsia="仿宋_GB2312"/>
                <w:sz w:val="28"/>
              </w:rPr>
              <w:t>抄送：自治区党委各部门，内蒙古军区，武警内蒙古总队。</w:t>
            </w:r>
          </w:p>
          <w:p>
            <w:pPr>
              <w:spacing w:line="400" w:lineRule="exact"/>
              <w:ind w:firstLine="1148" w:firstLineChars="410"/>
              <w:rPr>
                <w:rFonts w:hint="eastAsia" w:ascii="仿宋_GB2312" w:eastAsia="仿宋_GB2312"/>
                <w:sz w:val="28"/>
                <w:lang w:eastAsia="zh-CN"/>
              </w:rPr>
            </w:pPr>
            <w:r>
              <w:rPr>
                <w:rFonts w:hint="eastAsia" w:ascii="仿宋_GB2312" w:eastAsia="仿宋_GB2312"/>
                <w:sz w:val="28"/>
              </w:rPr>
              <w:t>自治区人大常委会办公厅</w:t>
            </w:r>
            <w:r>
              <w:rPr>
                <w:rFonts w:hint="eastAsia" w:ascii="仿宋_GB2312" w:eastAsia="仿宋_GB2312"/>
                <w:spacing w:val="-6"/>
                <w:sz w:val="28"/>
              </w:rPr>
              <w:t>、政协办公厅，</w:t>
            </w:r>
            <w:r>
              <w:rPr>
                <w:rFonts w:hint="eastAsia" w:ascii="仿宋_GB2312" w:eastAsia="仿宋_GB2312"/>
                <w:spacing w:val="-6"/>
                <w:sz w:val="28"/>
                <w:lang w:eastAsia="zh-CN"/>
              </w:rPr>
              <w:t>自治区监委，自治区</w:t>
            </w:r>
          </w:p>
          <w:p>
            <w:pPr>
              <w:spacing w:line="400" w:lineRule="exact"/>
              <w:ind w:firstLine="1148" w:firstLineChars="410"/>
              <w:rPr>
                <w:rFonts w:ascii="仿宋_GB2312" w:eastAsia="仿宋_GB2312"/>
                <w:sz w:val="28"/>
              </w:rPr>
            </w:pPr>
            <w:r>
              <w:rPr>
                <w:rFonts w:hint="eastAsia" w:ascii="仿宋_GB2312" w:eastAsia="仿宋_GB2312"/>
                <w:sz w:val="28"/>
              </w:rPr>
              <w:t>高级人民法院，检察院。</w:t>
            </w:r>
          </w:p>
          <w:p>
            <w:pPr>
              <w:spacing w:line="400" w:lineRule="exact"/>
              <w:ind w:firstLine="1148" w:firstLineChars="410"/>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31" w:type="dxa"/>
            <w:noWrap w:val="0"/>
            <w:vAlign w:val="top"/>
          </w:tcPr>
          <w:p>
            <w:pPr>
              <w:ind w:firstLine="280" w:firstLineChars="100"/>
              <w:rPr>
                <w:rFonts w:ascii="仿宋_GB2312" w:eastAsia="仿宋_GB2312"/>
                <w:sz w:val="28"/>
              </w:rPr>
            </w:pPr>
            <w:r>
              <w:rPr>
                <w:rFonts w:hint="eastAsia" w:ascii="仿宋_GB2312" w:eastAsia="仿宋_GB2312"/>
                <w:sz w:val="28"/>
              </w:rPr>
              <w:t>内蒙古自治区人民政府办公厅文电处        202</w:t>
            </w:r>
            <w:r>
              <w:rPr>
                <w:rFonts w:hint="eastAsia" w:ascii="仿宋_GB2312" w:eastAsia="仿宋_GB2312"/>
                <w:sz w:val="28"/>
                <w:lang w:val="en-US" w:eastAsia="zh-CN"/>
              </w:rPr>
              <w:t>2</w:t>
            </w:r>
            <w:r>
              <w:rPr>
                <w:rFonts w:hint="eastAsia" w:ascii="仿宋_GB2312" w:eastAsia="仿宋_GB2312"/>
                <w:sz w:val="28"/>
              </w:rPr>
              <w:t>年</w:t>
            </w:r>
            <w:r>
              <w:rPr>
                <w:rFonts w:hint="eastAsia" w:ascii="仿宋_GB2312" w:eastAsia="仿宋_GB2312"/>
                <w:sz w:val="28"/>
                <w:lang w:val="en-US" w:eastAsia="zh-CN"/>
              </w:rPr>
              <w:t>4</w:t>
            </w:r>
            <w:r>
              <w:rPr>
                <w:rFonts w:hint="eastAsia" w:ascii="仿宋_GB2312" w:eastAsia="仿宋_GB2312"/>
                <w:sz w:val="28"/>
              </w:rPr>
              <w:t>月</w:t>
            </w:r>
            <w:r>
              <w:rPr>
                <w:rFonts w:hint="eastAsia" w:ascii="仿宋_GB2312" w:eastAsia="仿宋_GB2312"/>
                <w:sz w:val="28"/>
                <w:lang w:val="en-US" w:eastAsia="zh-CN"/>
              </w:rPr>
              <w:t>29</w:t>
            </w:r>
            <w:r>
              <w:rPr>
                <w:rFonts w:hint="eastAsia" w:ascii="仿宋_GB2312" w:eastAsia="仿宋_GB2312"/>
                <w:sz w:val="28"/>
              </w:rPr>
              <w:t>日印发</w:t>
            </w:r>
          </w:p>
        </w:tc>
      </w:tr>
    </w:tbl>
    <w:p>
      <w:pPr>
        <w:rPr>
          <w:rFonts w:hint="eastAsia"/>
        </w:rPr>
      </w:pPr>
    </w:p>
    <w:p/>
    <w:sectPr>
      <w:headerReference r:id="rId3" w:type="default"/>
      <w:footerReference r:id="rId5" w:type="default"/>
      <w:headerReference r:id="rId4" w:type="even"/>
      <w:footerReference r:id="rId6" w:type="even"/>
      <w:pgSz w:w="11906" w:h="16838"/>
      <w:pgMar w:top="2098" w:right="1474" w:bottom="1701" w:left="1474" w:header="851" w:footer="141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楷体简体">
    <w:altName w:val="楷体"/>
    <w:panose1 w:val="02010601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82016" w:usb3="00000000" w:csb0="00040001" w:csb1="00000000"/>
  </w:font>
  <w:font w:name="方正黑体_GBK">
    <w:altName w:val="Arial Unicode MS"/>
    <w:panose1 w:val="02000000000000000000"/>
    <w:charset w:val="86"/>
    <w:family w:val="auto"/>
    <w:pitch w:val="default"/>
    <w:sig w:usb0="00000000" w:usb1="00000000" w:usb2="00082016" w:usb3="00000000" w:csb0="00040001" w:csb1="00000000"/>
  </w:font>
  <w:font w:name="方正楷体_GBK">
    <w:altName w:val="Arial Unicode MS"/>
    <w:panose1 w:val="02000000000000000000"/>
    <w:charset w:val="86"/>
    <w:family w:val="auto"/>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9452" w:y="-23"/>
      <w:rPr>
        <w:rStyle w:val="8"/>
        <w:rFonts w:hint="eastAsia" w:ascii="宋体" w:hAnsi="宋体"/>
        <w:sz w:val="28"/>
        <w:szCs w:val="28"/>
      </w:rPr>
    </w:pPr>
    <w:r>
      <w:rPr>
        <w:rFonts w:hint="eastAsia" w:ascii="宋体" w:hAnsi="宋体"/>
        <w:sz w:val="28"/>
        <w:szCs w:val="28"/>
      </w:rPr>
      <w:fldChar w:fldCharType="begin"/>
    </w:r>
    <w:r>
      <w:rPr>
        <w:rStyle w:val="8"/>
        <w:rFonts w:hint="eastAsia" w:ascii="宋体" w:hAnsi="宋体"/>
        <w:sz w:val="28"/>
        <w:szCs w:val="28"/>
      </w:rPr>
      <w:instrText xml:space="preserve">PAGE  </w:instrText>
    </w:r>
    <w:r>
      <w:rPr>
        <w:rFonts w:hint="eastAsia" w:ascii="宋体" w:hAnsi="宋体"/>
        <w:sz w:val="28"/>
        <w:szCs w:val="28"/>
      </w:rPr>
      <w:fldChar w:fldCharType="separate"/>
    </w:r>
    <w:r>
      <w:rPr>
        <w:rStyle w:val="8"/>
        <w:rFonts w:ascii="宋体" w:hAnsi="宋体"/>
        <w:sz w:val="28"/>
        <w:szCs w:val="28"/>
      </w:rPr>
      <w:t>- 1 -</w:t>
    </w:r>
    <w:r>
      <w:rPr>
        <w:rFonts w:hint="eastAsia" w:ascii="宋体" w:hAnsi="宋体"/>
        <w:sz w:val="28"/>
        <w:szCs w:val="2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hint="eastAsia" w:ascii="宋体" w:hAnsi="宋体"/>
        <w:sz w:val="28"/>
        <w:szCs w:val="28"/>
      </w:rPr>
    </w:pPr>
    <w:r>
      <w:rPr>
        <w:rStyle w:val="8"/>
        <w:rFonts w:hint="eastAsia" w:ascii="宋体" w:hAnsi="宋体"/>
        <w:sz w:val="28"/>
        <w:szCs w:val="28"/>
      </w:rPr>
      <w:t xml:space="preserve">  </w:t>
    </w:r>
    <w:r>
      <w:rPr>
        <w:rFonts w:hint="eastAsia" w:ascii="宋体" w:hAnsi="宋体"/>
        <w:sz w:val="28"/>
        <w:szCs w:val="28"/>
      </w:rPr>
      <w:fldChar w:fldCharType="begin"/>
    </w:r>
    <w:r>
      <w:rPr>
        <w:rStyle w:val="8"/>
        <w:rFonts w:hint="eastAsia" w:ascii="宋体" w:hAnsi="宋体"/>
        <w:sz w:val="28"/>
        <w:szCs w:val="28"/>
      </w:rPr>
      <w:instrText xml:space="preserve"> PAGE </w:instrText>
    </w:r>
    <w:r>
      <w:rPr>
        <w:rFonts w:hint="eastAsia" w:ascii="宋体" w:hAnsi="宋体"/>
        <w:sz w:val="28"/>
        <w:szCs w:val="28"/>
      </w:rPr>
      <w:fldChar w:fldCharType="separate"/>
    </w:r>
    <w:r>
      <w:rPr>
        <w:rStyle w:val="8"/>
        <w:rFonts w:ascii="宋体" w:hAnsi="宋体"/>
        <w:sz w:val="28"/>
        <w:szCs w:val="28"/>
      </w:rPr>
      <w:t>- 2 -</w:t>
    </w:r>
    <w:r>
      <w:rPr>
        <w:rFonts w:hint="eastAsia"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5D608D"/>
    <w:rsid w:val="5E5D60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ate"/>
    <w:basedOn w:val="1"/>
    <w:next w:val="1"/>
    <w:uiPriority w:val="0"/>
    <w:pPr>
      <w:ind w:left="100" w:leftChars="2500"/>
    </w:pPr>
    <w:rPr>
      <w:rFonts w:ascii="仿宋_GB2312" w:hAnsi="Times New Roman" w:eastAsia="仿宋_GB2312" w:cs="Times New Roman"/>
      <w:sz w:val="32"/>
      <w:szCs w:val="24"/>
      <w:lang w:bidi="ar-SA"/>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2022-04-30T08:03:00Z</dcterms:created>
  <dc:creator>ZWGK</dc:creator>
  <cp:lastModifiedBy>ZWGK</cp:lastModifiedBy>
  <dcterms:modified xsi:type="dcterms:W3CDTF">2022-04-30T08:07:26Z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8D22358C1C904ED18B8B606394786727</vt:lpwstr>
  </property>
</Properties>
</file>