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b w:val="0"/>
          <w:bCs/>
          <w:sz w:val="44"/>
          <w:szCs w:val="44"/>
          <w:lang w:eastAsia="zh-CN"/>
        </w:rPr>
      </w:pPr>
      <w:bookmarkStart w:id="0" w:name="_GoBack"/>
      <w:r>
        <w:rPr>
          <w:rFonts w:hint="eastAsia" w:ascii="方正小标宋简体" w:hAnsi="宋体" w:eastAsia="方正小标宋简体"/>
          <w:b w:val="0"/>
          <w:bCs/>
          <w:sz w:val="44"/>
          <w:szCs w:val="44"/>
          <w:lang w:eastAsia="zh-CN"/>
        </w:rPr>
        <w:t>内蒙古自治区人民政府关于</w:t>
      </w:r>
    </w:p>
    <w:p>
      <w:pPr>
        <w:spacing w:line="580" w:lineRule="exact"/>
        <w:jc w:val="center"/>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禁止在黄河内蒙古段堤防达标和河道</w:t>
      </w:r>
    </w:p>
    <w:p>
      <w:pPr>
        <w:spacing w:line="580" w:lineRule="exact"/>
        <w:jc w:val="center"/>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整治工程（巴彦淖尔市段）建设范围内</w:t>
      </w:r>
    </w:p>
    <w:p>
      <w:pPr>
        <w:spacing w:line="580" w:lineRule="exact"/>
        <w:jc w:val="center"/>
        <w:rPr>
          <w:rFonts w:hint="eastAsia" w:ascii="方正小标宋简体" w:hAnsi="宋体" w:eastAsia="方正小标宋简体"/>
          <w:b w:val="0"/>
          <w:bCs/>
          <w:sz w:val="44"/>
          <w:szCs w:val="44"/>
          <w:lang w:eastAsia="zh-CN"/>
        </w:rPr>
      </w:pPr>
      <w:r>
        <w:rPr>
          <w:rFonts w:hint="eastAsia" w:ascii="方正小标宋简体" w:hAnsi="宋体" w:eastAsia="方正小标宋简体"/>
          <w:b w:val="0"/>
          <w:bCs/>
          <w:sz w:val="44"/>
          <w:szCs w:val="44"/>
          <w:lang w:eastAsia="zh-CN"/>
        </w:rPr>
        <w:t>新增建设项目和迁入人口的通告</w:t>
      </w:r>
    </w:p>
    <w:bookmarkEnd w:id="0"/>
    <w:p>
      <w:pPr>
        <w:spacing w:line="580" w:lineRule="exact"/>
        <w:jc w:val="center"/>
        <w:rPr>
          <w:rFonts w:hint="eastAsia" w:ascii="方正小标宋简体" w:hAnsi="宋体" w:eastAsia="方正小标宋简体"/>
          <w:b w:val="0"/>
          <w:bCs/>
          <w:sz w:val="44"/>
          <w:szCs w:val="44"/>
          <w:lang w:eastAsia="zh-CN"/>
        </w:rPr>
      </w:pPr>
    </w:p>
    <w:p>
      <w:pPr>
        <w:spacing w:line="580" w:lineRule="exact"/>
        <w:jc w:val="center"/>
        <w:rPr>
          <w:rFonts w:hint="eastAsia" w:ascii="方正小标宋简体" w:hAnsi="宋体" w:eastAsia="方正小标宋简体"/>
          <w:b w:val="0"/>
          <w:bCs/>
          <w:sz w:val="44"/>
          <w:szCs w:val="44"/>
          <w:lang w:eastAsia="zh-CN"/>
        </w:rPr>
      </w:pPr>
      <w:r>
        <w:rPr>
          <w:rFonts w:hint="eastAsia" w:ascii="方正仿宋简体" w:hAnsi="方正仿宋简体" w:eastAsia="方正仿宋简体" w:cs="方正仿宋简体"/>
          <w:sz w:val="32"/>
          <w:szCs w:val="32"/>
        </w:rPr>
        <w:t>内政字〔2022〕</w:t>
      </w:r>
      <w:r>
        <w:rPr>
          <w:rFonts w:hint="eastAsia" w:ascii="方正仿宋简体" w:hAnsi="方正仿宋简体" w:eastAsia="方正仿宋简体" w:cs="方正仿宋简体"/>
          <w:sz w:val="32"/>
          <w:szCs w:val="32"/>
          <w:lang w:val="en-US" w:eastAsia="zh-CN"/>
        </w:rPr>
        <w:t>51</w:t>
      </w:r>
      <w:r>
        <w:rPr>
          <w:rFonts w:hint="eastAsia" w:ascii="方正仿宋简体" w:hAnsi="方正仿宋简体" w:eastAsia="方正仿宋简体" w:cs="方正仿宋简体"/>
          <w:sz w:val="32"/>
          <w:szCs w:val="32"/>
        </w:rPr>
        <w:t>号</w:t>
      </w:r>
    </w:p>
    <w:p>
      <w:pPr>
        <w:spacing w:line="580" w:lineRule="exact"/>
        <w:ind w:firstLine="0" w:firstLineChars="0"/>
        <w:rPr>
          <w:rFonts w:hint="eastAsia" w:eastAsia="仿宋_GB2312"/>
          <w:color w:val="000000"/>
          <w:sz w:val="32"/>
          <w:szCs w:val="32"/>
          <w:lang w:eastAsia="zh-CN"/>
        </w:rPr>
      </w:pPr>
    </w:p>
    <w:p>
      <w:pPr>
        <w:spacing w:line="580" w:lineRule="exact"/>
        <w:ind w:firstLine="0" w:firstLineChars="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巴彦淖尔市人民政府，自治区各有关委、办、厅、局：</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黄河内蒙古段堤防达标和河道整治工程是</w:t>
      </w:r>
      <w:r>
        <w:rPr>
          <w:rFonts w:hint="eastAsia" w:ascii="方正仿宋_GBK" w:hAnsi="方正仿宋_GBK" w:eastAsia="方正仿宋_GBK" w:cs="方正仿宋_GBK"/>
          <w:color w:val="000000"/>
          <w:sz w:val="32"/>
          <w:szCs w:val="32"/>
          <w:lang w:val="en-US" w:eastAsia="zh-CN"/>
        </w:rPr>
        <w:t>国家和自治区“十四五”期间规划实施的重大水利工程之一。</w:t>
      </w:r>
      <w:r>
        <w:rPr>
          <w:rFonts w:hint="eastAsia" w:ascii="方正仿宋_GBK" w:hAnsi="方正仿宋_GBK" w:eastAsia="方正仿宋_GBK" w:cs="方正仿宋_GBK"/>
          <w:sz w:val="32"/>
          <w:szCs w:val="32"/>
        </w:rPr>
        <w:t>为保证该工程顺利实施，根据《大中型水利水电工程建设征地补偿和移民安置条例》（国务院令第471号）有关规定，现将有关事项通告如下：</w:t>
      </w:r>
    </w:p>
    <w:p>
      <w:pPr>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eastAsia="zh-CN"/>
        </w:rPr>
        <w:t>一、黄河内蒙古段堤防达标和河道整治工程（巴彦淖尔市段）</w:t>
      </w:r>
      <w:r>
        <w:rPr>
          <w:rFonts w:hint="eastAsia" w:ascii="方正仿宋_GBK" w:hAnsi="方正仿宋_GBK" w:eastAsia="方正仿宋_GBK" w:cs="方正仿宋_GBK"/>
          <w:sz w:val="32"/>
          <w:szCs w:val="32"/>
        </w:rPr>
        <w:t>建设范围涉及</w:t>
      </w:r>
      <w:r>
        <w:rPr>
          <w:rFonts w:hint="eastAsia" w:ascii="方正仿宋_GBK" w:hAnsi="方正仿宋_GBK" w:eastAsia="方正仿宋_GBK" w:cs="方正仿宋_GBK"/>
          <w:sz w:val="32"/>
          <w:szCs w:val="32"/>
          <w:lang w:eastAsia="zh-CN"/>
        </w:rPr>
        <w:t>临河区双河镇黄河村、民族村、新河村、富河村、进步村、丰河村、马场地村、团结村、土默地村、跃进村、奋斗村、新丰村、新荣村；五原县天吉泰镇复丰村、景阳林村、景华村、天吉泰村，套海镇先进村、锦旗村、红旗村；磴口县巴彦高勒镇沙拉毛道嘎查、南粮台村、城关村、北粮台村，渡口镇新地村、东地村、永胜村、城西村、城东村、南滩村、南尖子村、大滩村；乌拉特前旗西小召镇西卓子村、乃玛岱村、金星村、公田村，乌拉山镇水桐村、塔布村、沙脑包村、蓿荄村、三湖村、联光村，先锋镇新华村、大田村、先锋村、红旗村、苏木图村、油房村；杭锦后旗头道桥镇黄河村、三角城村。</w:t>
      </w:r>
      <w:r>
        <w:rPr>
          <w:rFonts w:hint="eastAsia" w:ascii="方正仿宋_GBK" w:hAnsi="方正仿宋_GBK" w:eastAsia="方正仿宋_GBK" w:cs="方正仿宋_GBK"/>
          <w:sz w:val="32"/>
          <w:szCs w:val="32"/>
        </w:rPr>
        <w:t>具体范围</w:t>
      </w:r>
      <w:r>
        <w:rPr>
          <w:rFonts w:hint="eastAsia" w:ascii="方正仿宋_GBK" w:hAnsi="方正仿宋_GBK" w:eastAsia="方正仿宋_GBK" w:cs="方正仿宋_GBK"/>
          <w:sz w:val="32"/>
          <w:szCs w:val="32"/>
          <w:lang w:eastAsia="zh-CN"/>
        </w:rPr>
        <w:t>以各旗县（区）人民政府公示的黄河河道管理范围线拐点坐标为准。</w:t>
      </w:r>
    </w:p>
    <w:p>
      <w:pPr>
        <w:numPr>
          <w:ilvl w:val="0"/>
          <w:numId w:val="0"/>
        </w:numPr>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任何单位和个人不得在工程建设范围内新建、扩建和改建项目，不得修建房屋及其他设施，不得改变原地类、地貌，不得从事抢开耕地、园地、抢栽各种多年生经济作物和树木等改变土地用途和影响工程建设的活动。</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三、本通告发布之日前未依法办理手续、非法占用土地修建住宅的，一律不予认可补偿，并由</w:t>
      </w:r>
      <w:r>
        <w:rPr>
          <w:rFonts w:hint="eastAsia" w:ascii="方正仿宋_GBK" w:hAnsi="方正仿宋_GBK" w:eastAsia="方正仿宋_GBK" w:cs="方正仿宋_GBK"/>
          <w:sz w:val="32"/>
          <w:szCs w:val="32"/>
          <w:lang w:eastAsia="zh-CN"/>
        </w:rPr>
        <w:t>相关旗县（区）</w:t>
      </w:r>
      <w:r>
        <w:rPr>
          <w:rFonts w:hint="eastAsia" w:ascii="方正仿宋_GBK" w:hAnsi="方正仿宋_GBK" w:eastAsia="方正仿宋_GBK" w:cs="方正仿宋_GBK"/>
          <w:sz w:val="32"/>
          <w:szCs w:val="32"/>
        </w:rPr>
        <w:t>人民政府责令退还非法占用的土地，限期拆除在非法占用土地上新建的房屋。</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四、考虑</w:t>
      </w:r>
      <w:r>
        <w:rPr>
          <w:rFonts w:hint="eastAsia" w:ascii="方正仿宋_GBK" w:hAnsi="方正仿宋_GBK" w:eastAsia="方正仿宋_GBK" w:cs="方正仿宋_GBK"/>
          <w:color w:val="000000"/>
          <w:sz w:val="32"/>
          <w:szCs w:val="32"/>
          <w:lang w:eastAsia="zh-CN"/>
        </w:rPr>
        <w:t>黄河内蒙古段堤防达标和河道整治工程</w:t>
      </w:r>
      <w:r>
        <w:rPr>
          <w:rFonts w:hint="eastAsia" w:ascii="方正仿宋_GBK" w:hAnsi="方正仿宋_GBK" w:eastAsia="方正仿宋_GBK" w:cs="方正仿宋_GBK"/>
          <w:sz w:val="32"/>
          <w:szCs w:val="32"/>
        </w:rPr>
        <w:t>建设周期较长，为确保当地群众正常生产生活不因工程建设受到太大的影响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对与当地群众生产生活直接相关的、确需建设的项目，要严格按照《大中型水利水电工程建设征地补偿和移民安置条例》有关规定，在报</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rPr>
        <w:t>旗县级以上人民政府批准后，方可建设。</w:t>
      </w:r>
    </w:p>
    <w:p>
      <w:pPr>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五、要加强对</w:t>
      </w:r>
      <w:r>
        <w:rPr>
          <w:rFonts w:hint="eastAsia" w:ascii="方正仿宋_GBK" w:hAnsi="方正仿宋_GBK" w:eastAsia="方正仿宋_GBK" w:cs="方正仿宋_GBK"/>
          <w:color w:val="000000"/>
          <w:sz w:val="32"/>
          <w:szCs w:val="32"/>
          <w:lang w:eastAsia="zh-CN"/>
        </w:rPr>
        <w:t>黄河内蒙古段堤防达标和河道整治工程</w:t>
      </w:r>
      <w:r>
        <w:rPr>
          <w:rFonts w:hint="eastAsia" w:ascii="方正仿宋_GBK" w:hAnsi="方正仿宋_GBK" w:eastAsia="方正仿宋_GBK" w:cs="方正仿宋_GBK"/>
          <w:sz w:val="32"/>
          <w:szCs w:val="32"/>
        </w:rPr>
        <w:t>建设范围内的户籍管理，严格控制建设范围内的人口迁入。除出生、婚嫁、军人转业退伍、大中专毕业生、服刑期满释放人员等回籍人员外，各级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政府和相关部门不得办理各类人口的迁入手续。</w:t>
      </w:r>
    </w:p>
    <w:p>
      <w:pPr>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六、对借工程征地搬迁之机煽动群众闹事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给征地搬迁工作制造障碍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阻碍工程建设等违法行为，由公安机关按照《中华人民共和国治安管理处罚法》的规定给予治安管理处罚。构成犯罪的，依法追究刑事责任。</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本通告自发布之日起施行。</w:t>
      </w:r>
    </w:p>
    <w:p>
      <w:pPr>
        <w:spacing w:line="580" w:lineRule="exact"/>
        <w:ind w:firstLine="640"/>
        <w:rPr>
          <w:rFonts w:hint="eastAsia" w:ascii="方正仿宋_GBK" w:hAnsi="方正仿宋_GBK" w:eastAsia="方正仿宋_GBK" w:cs="方正仿宋_GBK"/>
          <w:sz w:val="32"/>
          <w:szCs w:val="32"/>
        </w:rPr>
      </w:pPr>
    </w:p>
    <w:p>
      <w:pPr>
        <w:spacing w:line="580" w:lineRule="exact"/>
        <w:ind w:firstLine="640"/>
        <w:rPr>
          <w:rFonts w:hint="eastAsia" w:ascii="方正仿宋_GBK" w:hAnsi="方正仿宋_GBK" w:eastAsia="方正仿宋_GBK" w:cs="方正仿宋_GBK"/>
          <w:sz w:val="32"/>
          <w:szCs w:val="32"/>
        </w:rPr>
      </w:pPr>
    </w:p>
    <w:p>
      <w:pPr>
        <w:spacing w:line="580" w:lineRule="exact"/>
        <w:ind w:firstLine="640"/>
        <w:rPr>
          <w:rFonts w:hint="eastAsia" w:ascii="方正仿宋_GBK" w:hAnsi="方正仿宋_GBK" w:eastAsia="方正仿宋_GBK" w:cs="方正仿宋_GBK"/>
          <w:sz w:val="32"/>
          <w:szCs w:val="32"/>
        </w:rPr>
      </w:pPr>
    </w:p>
    <w:p>
      <w:pPr>
        <w:spacing w:line="580" w:lineRule="exact"/>
        <w:ind w:firstLine="640"/>
        <w:rPr>
          <w:rFonts w:hint="eastAsia" w:ascii="方正仿宋_GBK" w:hAnsi="方正仿宋_GBK" w:eastAsia="方正仿宋_GBK" w:cs="方正仿宋_GBK"/>
          <w:sz w:val="32"/>
          <w:szCs w:val="32"/>
        </w:rPr>
      </w:pPr>
    </w:p>
    <w:p>
      <w:pPr>
        <w:spacing w:line="580" w:lineRule="exact"/>
        <w:ind w:firstLine="5280" w:firstLineChars="16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ind w:firstLine="640"/>
        <w:rPr>
          <w:rFonts w:hint="eastAsia" w:ascii="方正仿宋_GBK" w:hAnsi="方正仿宋_GBK" w:eastAsia="方正仿宋_GBK" w:cs="方正仿宋_GBK"/>
          <w:sz w:val="32"/>
          <w:szCs w:val="32"/>
          <w:lang w:val="en-US" w:eastAsia="zh-CN"/>
        </w:rPr>
      </w:pPr>
    </w:p>
    <w:p>
      <w:pPr>
        <w:ind w:firstLine="640"/>
        <w:rPr>
          <w:rFonts w:hint="eastAsia" w:ascii="方正仿宋_GBK" w:hAnsi="方正仿宋_GBK" w:eastAsia="方正仿宋_GBK" w:cs="方正仿宋_GBK"/>
          <w:sz w:val="32"/>
          <w:szCs w:val="32"/>
          <w:lang w:val="en-US" w:eastAsia="zh-CN"/>
        </w:rPr>
      </w:pPr>
    </w:p>
    <w:p>
      <w:pPr>
        <w:ind w:firstLine="640"/>
        <w:rPr>
          <w:rFonts w:hint="eastAsia" w:ascii="方正仿宋_GBK" w:hAnsi="方正仿宋_GBK" w:eastAsia="方正仿宋_GBK" w:cs="方正仿宋_GBK"/>
          <w:sz w:val="32"/>
          <w:szCs w:val="32"/>
          <w:lang w:val="en-US" w:eastAsia="zh-CN"/>
        </w:rPr>
      </w:pPr>
    </w:p>
    <w:p>
      <w:pPr>
        <w:ind w:firstLine="640"/>
        <w:rPr>
          <w:rFonts w:hint="eastAsia" w:ascii="方正仿宋_GBK" w:hAnsi="方正仿宋_GBK" w:eastAsia="方正仿宋_GBK" w:cs="方正仿宋_GBK"/>
          <w:sz w:val="32"/>
          <w:szCs w:val="32"/>
          <w:lang w:val="en-US" w:eastAsia="zh-CN"/>
        </w:rPr>
      </w:pPr>
    </w:p>
    <w:p>
      <w:pPr>
        <w:ind w:firstLine="640"/>
        <w:rPr>
          <w:rFonts w:hint="eastAsia" w:ascii="方正仿宋_GBK" w:hAnsi="方正仿宋_GBK" w:eastAsia="方正仿宋_GBK" w:cs="方正仿宋_GBK"/>
          <w:sz w:val="32"/>
          <w:szCs w:val="32"/>
          <w:lang w:val="en-US" w:eastAsia="zh-CN"/>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tabs>
          <w:tab w:val="left" w:pos="2775"/>
        </w:tabs>
        <w:spacing w:line="440" w:lineRule="exact"/>
        <w:ind w:firstLine="0" w:firstLineChars="0"/>
        <w:rPr>
          <w:rFonts w:hint="eastAsia" w:ascii="仿宋_GB2312" w:eastAsia="仿宋_GB2312"/>
          <w:spacing w:val="-11"/>
          <w:sz w:val="28"/>
          <w:szCs w:val="28"/>
        </w:rPr>
      </w:pPr>
    </w:p>
    <w:p>
      <w:pPr>
        <w:ind w:firstLine="258" w:firstLineChars="100"/>
        <w:rPr>
          <w:rFonts w:hint="eastAsia" w:ascii="方正仿宋_GBK" w:hAnsi="方正仿宋_GBK" w:eastAsia="方正仿宋_GBK" w:cs="方正仿宋_GBK"/>
          <w:sz w:val="32"/>
          <w:szCs w:val="32"/>
          <w:lang w:val="en-US" w:eastAsia="zh-CN"/>
        </w:rPr>
      </w:pPr>
      <w:r>
        <w:rPr>
          <w:rFonts w:hint="eastAsia" w:ascii="仿宋_GB2312" w:eastAsia="仿宋_GB2312"/>
          <w:spacing w:val="-11"/>
          <w:sz w:val="28"/>
          <w:szCs w:val="28"/>
        </w:rPr>
        <w:t>抄送：自治区党委</w:t>
      </w:r>
      <w:r>
        <w:rPr>
          <w:rFonts w:hint="eastAsia" w:ascii="仿宋_GB2312" w:eastAsia="仿宋_GB2312"/>
          <w:spacing w:val="-11"/>
          <w:sz w:val="28"/>
          <w:szCs w:val="28"/>
          <w:lang w:eastAsia="zh-CN"/>
        </w:rPr>
        <w:t>办公厅、</w:t>
      </w:r>
      <w:r>
        <w:rPr>
          <w:rFonts w:hint="eastAsia" w:ascii="仿宋_GB2312" w:eastAsia="仿宋_GB2312"/>
          <w:spacing w:val="-11"/>
          <w:sz w:val="28"/>
          <w:szCs w:val="28"/>
        </w:rPr>
        <w:t>人大常委会办公厅、政协办公厅</w:t>
      </w:r>
      <w:r>
        <w:rPr>
          <w:rFonts w:hint="eastAsia" w:ascii="仿宋_GB2312" w:eastAsia="仿宋_GB2312"/>
          <w:spacing w:val="-11"/>
          <w:sz w:val="28"/>
          <w:szCs w:val="28"/>
          <w:lang w:eastAsia="zh-CN"/>
        </w:rPr>
        <w:t>、纪委办公厅</w:t>
      </w:r>
      <w:r>
        <w:rPr>
          <w:rFonts w:hint="eastAsia" w:ascii="仿宋_GB2312" w:eastAsia="仿宋_GB2312"/>
          <w:spacing w:val="-11"/>
          <w:sz w:val="28"/>
          <w:szCs w:val="28"/>
        </w:rPr>
        <w:t>。</w:t>
      </w:r>
    </w:p>
    <w:sectPr>
      <w:footerReference r:id="rId3" w:type="default"/>
      <w:footerReference r:id="rId4" w:type="even"/>
      <w:pgSz w:w="11906" w:h="16838"/>
      <w:pgMar w:top="2098" w:right="1474" w:bottom="1701" w:left="1474" w:header="851" w:footer="1417"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706" w:y="7"/>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456" w:y="22"/>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CA"/>
    <w:rsid w:val="00000DA3"/>
    <w:rsid w:val="00057363"/>
    <w:rsid w:val="0008038C"/>
    <w:rsid w:val="000D14CA"/>
    <w:rsid w:val="000F6A27"/>
    <w:rsid w:val="000F7DFD"/>
    <w:rsid w:val="001B7709"/>
    <w:rsid w:val="002970B9"/>
    <w:rsid w:val="002B29B9"/>
    <w:rsid w:val="002F4E59"/>
    <w:rsid w:val="00302982"/>
    <w:rsid w:val="0030489A"/>
    <w:rsid w:val="00307579"/>
    <w:rsid w:val="00323128"/>
    <w:rsid w:val="00337358"/>
    <w:rsid w:val="00340367"/>
    <w:rsid w:val="00351DB4"/>
    <w:rsid w:val="0039177C"/>
    <w:rsid w:val="00396618"/>
    <w:rsid w:val="00416A0B"/>
    <w:rsid w:val="0044339D"/>
    <w:rsid w:val="00444154"/>
    <w:rsid w:val="00452C53"/>
    <w:rsid w:val="00455973"/>
    <w:rsid w:val="00483E09"/>
    <w:rsid w:val="004A0D3F"/>
    <w:rsid w:val="004A5BD5"/>
    <w:rsid w:val="004B2561"/>
    <w:rsid w:val="004E31DF"/>
    <w:rsid w:val="004F74B0"/>
    <w:rsid w:val="00527E88"/>
    <w:rsid w:val="0053777E"/>
    <w:rsid w:val="00555E12"/>
    <w:rsid w:val="00581097"/>
    <w:rsid w:val="005C7397"/>
    <w:rsid w:val="006013A0"/>
    <w:rsid w:val="006048D6"/>
    <w:rsid w:val="006A2C65"/>
    <w:rsid w:val="006C633F"/>
    <w:rsid w:val="006C713C"/>
    <w:rsid w:val="00742690"/>
    <w:rsid w:val="007512D9"/>
    <w:rsid w:val="00755D27"/>
    <w:rsid w:val="00773C5D"/>
    <w:rsid w:val="0077781A"/>
    <w:rsid w:val="007C6807"/>
    <w:rsid w:val="00806E28"/>
    <w:rsid w:val="00825CE1"/>
    <w:rsid w:val="008321A8"/>
    <w:rsid w:val="008408A0"/>
    <w:rsid w:val="00847452"/>
    <w:rsid w:val="00896DF6"/>
    <w:rsid w:val="008D075D"/>
    <w:rsid w:val="008E482C"/>
    <w:rsid w:val="00926885"/>
    <w:rsid w:val="00934695"/>
    <w:rsid w:val="009606EB"/>
    <w:rsid w:val="009721B9"/>
    <w:rsid w:val="00991E90"/>
    <w:rsid w:val="009B08A3"/>
    <w:rsid w:val="00A246D9"/>
    <w:rsid w:val="00A63C00"/>
    <w:rsid w:val="00AA4AED"/>
    <w:rsid w:val="00AC3BB4"/>
    <w:rsid w:val="00B32830"/>
    <w:rsid w:val="00B33ED2"/>
    <w:rsid w:val="00B52F22"/>
    <w:rsid w:val="00B558E6"/>
    <w:rsid w:val="00B8542C"/>
    <w:rsid w:val="00B95CA8"/>
    <w:rsid w:val="00C16941"/>
    <w:rsid w:val="00C809B3"/>
    <w:rsid w:val="00CA468C"/>
    <w:rsid w:val="00CC1415"/>
    <w:rsid w:val="00CC7C4A"/>
    <w:rsid w:val="00D3579F"/>
    <w:rsid w:val="00D45C81"/>
    <w:rsid w:val="00D83EF6"/>
    <w:rsid w:val="00D95E50"/>
    <w:rsid w:val="00DB1EEF"/>
    <w:rsid w:val="00DD4FCD"/>
    <w:rsid w:val="00DD700A"/>
    <w:rsid w:val="00DF62D9"/>
    <w:rsid w:val="00E751C2"/>
    <w:rsid w:val="00F16D0D"/>
    <w:rsid w:val="00F51616"/>
    <w:rsid w:val="00F651C3"/>
    <w:rsid w:val="00F71128"/>
    <w:rsid w:val="00F94438"/>
    <w:rsid w:val="00FB760A"/>
    <w:rsid w:val="00FE2B87"/>
    <w:rsid w:val="01715CEB"/>
    <w:rsid w:val="020A5573"/>
    <w:rsid w:val="027163F5"/>
    <w:rsid w:val="03130023"/>
    <w:rsid w:val="03991132"/>
    <w:rsid w:val="06DC3C4A"/>
    <w:rsid w:val="07DB7F7C"/>
    <w:rsid w:val="093475FD"/>
    <w:rsid w:val="0AE879CD"/>
    <w:rsid w:val="0C9D102A"/>
    <w:rsid w:val="0F380010"/>
    <w:rsid w:val="0F8F3712"/>
    <w:rsid w:val="10A62BEA"/>
    <w:rsid w:val="11A9203E"/>
    <w:rsid w:val="12026270"/>
    <w:rsid w:val="17FB24AC"/>
    <w:rsid w:val="180C2802"/>
    <w:rsid w:val="1BA7556B"/>
    <w:rsid w:val="1E785972"/>
    <w:rsid w:val="1F0F06E9"/>
    <w:rsid w:val="1F6C47FF"/>
    <w:rsid w:val="20B5562B"/>
    <w:rsid w:val="217D23BA"/>
    <w:rsid w:val="26154A57"/>
    <w:rsid w:val="27054714"/>
    <w:rsid w:val="27355263"/>
    <w:rsid w:val="27B7431E"/>
    <w:rsid w:val="27E04077"/>
    <w:rsid w:val="29255FCE"/>
    <w:rsid w:val="29340AB0"/>
    <w:rsid w:val="29A62830"/>
    <w:rsid w:val="2A3A0933"/>
    <w:rsid w:val="2AF61794"/>
    <w:rsid w:val="2BBC4266"/>
    <w:rsid w:val="2D73499D"/>
    <w:rsid w:val="2FD80F7F"/>
    <w:rsid w:val="2FEF4A8F"/>
    <w:rsid w:val="30154D01"/>
    <w:rsid w:val="30CD6C9E"/>
    <w:rsid w:val="317B493D"/>
    <w:rsid w:val="326822C2"/>
    <w:rsid w:val="34F510ED"/>
    <w:rsid w:val="351D2CFA"/>
    <w:rsid w:val="35DFFB0E"/>
    <w:rsid w:val="37BFE726"/>
    <w:rsid w:val="39C84E9E"/>
    <w:rsid w:val="3AF834CA"/>
    <w:rsid w:val="3B0C717F"/>
    <w:rsid w:val="3B6EED13"/>
    <w:rsid w:val="3BB75E87"/>
    <w:rsid w:val="3C6B6EA5"/>
    <w:rsid w:val="3CC60CC8"/>
    <w:rsid w:val="3DB93D7E"/>
    <w:rsid w:val="3E8003A9"/>
    <w:rsid w:val="3EE43B40"/>
    <w:rsid w:val="3F85375F"/>
    <w:rsid w:val="3FD90D3A"/>
    <w:rsid w:val="401D72F5"/>
    <w:rsid w:val="41386A17"/>
    <w:rsid w:val="42B61283"/>
    <w:rsid w:val="455967A9"/>
    <w:rsid w:val="455F3977"/>
    <w:rsid w:val="467F3DC3"/>
    <w:rsid w:val="478C3379"/>
    <w:rsid w:val="4814620B"/>
    <w:rsid w:val="487A4700"/>
    <w:rsid w:val="497EA7D3"/>
    <w:rsid w:val="4CAC4573"/>
    <w:rsid w:val="4FD33F1F"/>
    <w:rsid w:val="4FD817BC"/>
    <w:rsid w:val="4FDF6274"/>
    <w:rsid w:val="500B2151"/>
    <w:rsid w:val="50591497"/>
    <w:rsid w:val="513B7C42"/>
    <w:rsid w:val="51942682"/>
    <w:rsid w:val="5232472D"/>
    <w:rsid w:val="54020F64"/>
    <w:rsid w:val="556E4ED2"/>
    <w:rsid w:val="57351534"/>
    <w:rsid w:val="579144D5"/>
    <w:rsid w:val="57EB50F1"/>
    <w:rsid w:val="581234E4"/>
    <w:rsid w:val="5A9E268E"/>
    <w:rsid w:val="5ABF37D8"/>
    <w:rsid w:val="5BA5123A"/>
    <w:rsid w:val="5BCF4270"/>
    <w:rsid w:val="5D182B8A"/>
    <w:rsid w:val="5D235228"/>
    <w:rsid w:val="5E9241CC"/>
    <w:rsid w:val="5F2401F0"/>
    <w:rsid w:val="5F5D1A96"/>
    <w:rsid w:val="5FC47C57"/>
    <w:rsid w:val="6188231B"/>
    <w:rsid w:val="62F00502"/>
    <w:rsid w:val="648D579B"/>
    <w:rsid w:val="650E2E84"/>
    <w:rsid w:val="651313E3"/>
    <w:rsid w:val="671D4AA2"/>
    <w:rsid w:val="677FD7AD"/>
    <w:rsid w:val="67C742AE"/>
    <w:rsid w:val="68C13D1E"/>
    <w:rsid w:val="69957DEC"/>
    <w:rsid w:val="69AA7AA3"/>
    <w:rsid w:val="6ADE316A"/>
    <w:rsid w:val="6B773735"/>
    <w:rsid w:val="6C564AE8"/>
    <w:rsid w:val="6D3F3C42"/>
    <w:rsid w:val="6DBF0EF9"/>
    <w:rsid w:val="6DD82FE0"/>
    <w:rsid w:val="6DF72075"/>
    <w:rsid w:val="6FBB7953"/>
    <w:rsid w:val="6FFFFDEB"/>
    <w:rsid w:val="731829DE"/>
    <w:rsid w:val="73EE59AA"/>
    <w:rsid w:val="74022FCB"/>
    <w:rsid w:val="74C30A22"/>
    <w:rsid w:val="750F5F66"/>
    <w:rsid w:val="76240541"/>
    <w:rsid w:val="76364085"/>
    <w:rsid w:val="76F5B231"/>
    <w:rsid w:val="79EF7A54"/>
    <w:rsid w:val="79FF53AF"/>
    <w:rsid w:val="79FFFD1D"/>
    <w:rsid w:val="7A0176CA"/>
    <w:rsid w:val="7AF8981C"/>
    <w:rsid w:val="7BE7D72D"/>
    <w:rsid w:val="7C7734A3"/>
    <w:rsid w:val="7D1850A2"/>
    <w:rsid w:val="7D702125"/>
    <w:rsid w:val="7DA83E82"/>
    <w:rsid w:val="7DEFF68C"/>
    <w:rsid w:val="7EFB6332"/>
    <w:rsid w:val="7FBD935D"/>
    <w:rsid w:val="7FDFA602"/>
    <w:rsid w:val="7FF9EB9E"/>
    <w:rsid w:val="8FB6553C"/>
    <w:rsid w:val="9AEB45BD"/>
    <w:rsid w:val="A7EC5EA7"/>
    <w:rsid w:val="AB37CC66"/>
    <w:rsid w:val="B85FC5F3"/>
    <w:rsid w:val="BD7A0FC7"/>
    <w:rsid w:val="BF7EB84F"/>
    <w:rsid w:val="CCCAC953"/>
    <w:rsid w:val="CFFF970C"/>
    <w:rsid w:val="D1EF2AC8"/>
    <w:rsid w:val="DDFD5649"/>
    <w:rsid w:val="DEBFA992"/>
    <w:rsid w:val="DF771ECE"/>
    <w:rsid w:val="E9B633B5"/>
    <w:rsid w:val="EC9DF26D"/>
    <w:rsid w:val="EDFFA865"/>
    <w:rsid w:val="F152266B"/>
    <w:rsid w:val="F3F7F220"/>
    <w:rsid w:val="F3FDF2B4"/>
    <w:rsid w:val="F5FFBC56"/>
    <w:rsid w:val="FB8DB32C"/>
    <w:rsid w:val="FBF54E8B"/>
    <w:rsid w:val="FCFF7826"/>
    <w:rsid w:val="FD771DE8"/>
    <w:rsid w:val="FD790E56"/>
    <w:rsid w:val="FDAFAC18"/>
    <w:rsid w:val="FDEB7B3B"/>
    <w:rsid w:val="FDFB6D47"/>
    <w:rsid w:val="FDFF5CFE"/>
    <w:rsid w:val="FE7F2867"/>
    <w:rsid w:val="FEF71FC4"/>
    <w:rsid w:val="FEFF342F"/>
    <w:rsid w:val="FFF00123"/>
    <w:rsid w:val="FFFDAADC"/>
    <w:rsid w:val="FFFF3B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Normal Indent"/>
    <w:basedOn w:val="1"/>
    <w:next w:val="1"/>
    <w:unhideWhenUsed/>
    <w:qFormat/>
    <w:uiPriority w:val="99"/>
    <w:pPr>
      <w:adjustRightInd w:val="0"/>
      <w:spacing w:line="360" w:lineRule="atLeast"/>
      <w:ind w:firstLine="420"/>
      <w:jc w:val="left"/>
      <w:textAlignment w:val="baseline"/>
    </w:pPr>
    <w:rPr>
      <w:rFonts w:ascii="Times New Roman" w:hAnsi="Times New Roman" w:eastAsia="宋体" w:cs="Times New Roman"/>
      <w:kern w:val="0"/>
      <w:sz w:val="24"/>
      <w:szCs w:val="20"/>
    </w:rPr>
  </w:style>
  <w:style w:type="paragraph" w:styleId="3">
    <w:name w:val="Body Text"/>
    <w:basedOn w:val="1"/>
    <w:uiPriority w:val="0"/>
    <w:pPr>
      <w:spacing w:after="120"/>
    </w:pPr>
    <w:rPr>
      <w:rFonts w:ascii="Calibri" w:hAnsi="Calibri" w:eastAsia="宋体" w:cs="Times New Roman"/>
      <w:szCs w:val="22"/>
    </w:rPr>
  </w:style>
  <w:style w:type="paragraph" w:styleId="4">
    <w:name w:val="Balloon Text"/>
    <w:basedOn w:val="1"/>
    <w:semiHidden/>
    <w:uiPriority w:val="0"/>
    <w:rPr>
      <w:rFonts w:ascii="Calibri" w:hAnsi="Calibri" w:eastAsia="宋体" w:cs="Times New Roman"/>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
    <w:link w:val="5"/>
    <w:uiPriority w:val="0"/>
    <w:rPr>
      <w:rFonts w:ascii="Times New Roman" w:hAnsi="Times New Roman" w:eastAsia="宋体" w:cs="Times New Roman"/>
      <w:sz w:val="18"/>
    </w:rPr>
  </w:style>
  <w:style w:type="character" w:customStyle="1" w:styleId="12">
    <w:name w:val=" Char Char1"/>
    <w:link w:val="6"/>
    <w:uiPriority w:val="0"/>
    <w:rPr>
      <w:rFonts w:ascii="Times New Roman" w:hAnsi="Times New Roman" w:eastAsia="宋体" w:cs="Times New Roman"/>
      <w:sz w:val="18"/>
    </w:rPr>
  </w:style>
  <w:style w:type="character" w:customStyle="1" w:styleId="13">
    <w:name w:val="页脚 Char"/>
    <w:uiPriority w:val="99"/>
    <w:rPr>
      <w:rFonts w:ascii="Calibri" w:hAnsi="Calibri" w:eastAsia="宋体" w:cs="Times New Roman"/>
      <w:kern w:val="2"/>
      <w:sz w:val="18"/>
      <w:szCs w:val="18"/>
    </w:rPr>
  </w:style>
  <w:style w:type="character" w:customStyle="1" w:styleId="14">
    <w:name w:val="页眉 Char"/>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1</Pages>
  <Words>3</Words>
  <Characters>18</Characters>
  <Lines>1</Lines>
  <Paragraphs>1</Paragraphs>
  <TotalTime>2</TotalTime>
  <ScaleCrop>false</ScaleCrop>
  <LinksUpToDate>false</LinksUpToDate>
  <CharactersWithSpaces>20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2012-09-19T13:52:00Z</dcterms:created>
  <dc:creator>王蕾:打印</dc:creator>
  <cp:lastModifiedBy>zwfw</cp:lastModifiedBy>
  <dcterms:modified xsi:type="dcterms:W3CDTF">2022-06-16T01:48:16Z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