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highlight w:val="none"/>
          <w:lang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自治区人民政府决定废止和宣布失效的</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highlight w:val="none"/>
          <w:lang w:eastAsia="zh-CN"/>
        </w:rPr>
      </w:pPr>
      <w:r>
        <w:rPr>
          <w:rFonts w:hint="eastAsia" w:ascii="方正小标宋简体" w:hAnsi="方正小标宋简体" w:eastAsia="方正小标宋简体" w:cs="方正小标宋简体"/>
          <w:sz w:val="44"/>
          <w:szCs w:val="44"/>
          <w:highlight w:val="none"/>
          <w:lang w:eastAsia="zh-CN"/>
        </w:rPr>
        <w:t>行政规范性文件目录</w:t>
      </w:r>
    </w:p>
    <w:p>
      <w:pPr>
        <w:pStyle w:val="2"/>
        <w:keepNext w:val="0"/>
        <w:keepLines w:val="0"/>
        <w:pageBreakBefore w:val="0"/>
        <w:widowControl w:val="0"/>
        <w:kinsoku/>
        <w:wordWrap/>
        <w:overflowPunct/>
        <w:topLinePunct/>
        <w:autoSpaceDE/>
        <w:autoSpaceDN/>
        <w:bidi w:val="0"/>
        <w:adjustRightInd/>
        <w:snapToGrid/>
        <w:spacing w:after="0" w:line="58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楷体_GBK" w:hAnsi="方正楷体_GBK" w:eastAsia="方正楷体_GBK" w:cs="方正楷体_GBK"/>
          <w:sz w:val="32"/>
          <w:szCs w:val="32"/>
          <w:highlight w:val="none"/>
          <w:lang w:eastAsia="zh-CN"/>
        </w:rPr>
      </w:pPr>
    </w:p>
    <w:p>
      <w:pPr>
        <w:pStyle w:val="2"/>
        <w:keepNext w:val="0"/>
        <w:keepLines w:val="0"/>
        <w:pageBreakBefore w:val="0"/>
        <w:widowControl w:val="0"/>
        <w:kinsoku/>
        <w:wordWrap/>
        <w:overflowPunct/>
        <w:topLinePunct/>
        <w:autoSpaceDE/>
        <w:autoSpaceDN/>
        <w:bidi w:val="0"/>
        <w:adjustRightInd/>
        <w:snapToGrid/>
        <w:spacing w:after="0" w:line="580" w:lineRule="exact"/>
        <w:ind w:left="0" w:leftChars="0" w:firstLine="640" w:firstLineChars="200"/>
        <w:jc w:val="both"/>
        <w:textAlignment w:val="auto"/>
        <w:rPr>
          <w:rFonts w:hint="eastAsia" w:ascii="方正仿宋_GBK" w:hAnsi="方正仿宋_GBK" w:eastAsia="方正仿宋_GBK" w:cs="方正仿宋_GBK"/>
          <w:sz w:val="32"/>
          <w:szCs w:val="32"/>
          <w:highlight w:val="none"/>
          <w:lang w:val="en" w:eastAsia="zh-CN"/>
        </w:rPr>
      </w:pPr>
    </w:p>
    <w:p>
      <w:pPr>
        <w:pStyle w:val="2"/>
        <w:keepNext w:val="0"/>
        <w:keepLines w:val="0"/>
        <w:pageBreakBefore w:val="0"/>
        <w:widowControl w:val="0"/>
        <w:kinsoku/>
        <w:wordWrap/>
        <w:overflowPunct/>
        <w:topLinePunct/>
        <w:autoSpaceDE/>
        <w:autoSpaceDN/>
        <w:bidi w:val="0"/>
        <w:adjustRightInd/>
        <w:snapToGrid/>
        <w:spacing w:after="0" w:line="580" w:lineRule="exact"/>
        <w:ind w:left="0" w:leftChars="0" w:firstLine="640" w:firstLineChars="2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 w:eastAsia="zh-CN"/>
        </w:rPr>
        <w:t>一、废止</w:t>
      </w:r>
      <w:r>
        <w:rPr>
          <w:rFonts w:hint="eastAsia" w:ascii="黑体" w:hAnsi="黑体" w:eastAsia="黑体" w:cs="黑体"/>
          <w:sz w:val="32"/>
          <w:szCs w:val="32"/>
          <w:highlight w:val="none"/>
          <w:lang w:val="en-US" w:eastAsia="zh-CN"/>
        </w:rPr>
        <w:t>21件</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1.《内蒙古自治区人民政府关于建立统一的企业职工基本养老保险制度的实施意见》（内政发〔1998〕36号）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2.《内蒙古自治区人民政府关于贯彻〈法律援助条例〉加强法律援助工作的意见》（内政字〔2004〕358号）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3.《内蒙古自治区人民政府办公厅关于进一步加强融资性担保业务监管工作的通知》（内政办发〔2009〕26号）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4.《内蒙古自治区人民政府关于进一步加强综合治理出生人口性别比偏高工作的意见》（内政字〔2012〕324号）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5.《内蒙古自治区人民政府办公厅转发自治区环保厅关于切实加强重金属污染综合防治工作实施意见的通知》（内政办字〔2012〕252号）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6.《内蒙古自治区人民政府办公厅转发自治区医改办关于进一步鼓励和引导社会资本举办医疗机构实施意见的通知》（内政办发〔2013〕7号）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i w:val="0"/>
          <w:color w:val="auto"/>
          <w:kern w:val="0"/>
          <w:sz w:val="32"/>
          <w:szCs w:val="32"/>
          <w:highlight w:val="none"/>
          <w:u w:val="none"/>
          <w:lang w:val="en-US" w:eastAsia="zh-CN" w:bidi="ar"/>
        </w:rPr>
        <w:t>7.《内蒙古自治区人民政府</w:t>
      </w:r>
      <w:r>
        <w:rPr>
          <w:rFonts w:hint="eastAsia" w:ascii="方正仿宋_GBK" w:hAnsi="方正仿宋_GBK" w:eastAsia="方正仿宋_GBK" w:cs="方正仿宋_GBK"/>
          <w:color w:val="auto"/>
          <w:sz w:val="32"/>
          <w:szCs w:val="32"/>
          <w:highlight w:val="none"/>
          <w:vertAlign w:val="baseline"/>
          <w:lang w:eastAsia="zh-CN"/>
        </w:rPr>
        <w:t>关于印发〈食品药品安全内蒙古建设方案〉的通知</w:t>
      </w:r>
      <w:r>
        <w:rPr>
          <w:rFonts w:hint="eastAsia" w:ascii="方正仿宋_GBK" w:hAnsi="方正仿宋_GBK" w:eastAsia="方正仿宋_GBK" w:cs="方正仿宋_GBK"/>
          <w:i w:val="0"/>
          <w:color w:val="auto"/>
          <w:kern w:val="0"/>
          <w:sz w:val="32"/>
          <w:szCs w:val="32"/>
          <w:highlight w:val="none"/>
          <w:u w:val="none"/>
          <w:lang w:val="en-US" w:eastAsia="zh-CN" w:bidi="ar"/>
        </w:rPr>
        <w:t>》</w:t>
      </w:r>
      <w:r>
        <w:rPr>
          <w:rFonts w:hint="eastAsia" w:ascii="方正仿宋_GBK" w:hAnsi="方正仿宋_GBK" w:eastAsia="方正仿宋_GBK" w:cs="方正仿宋_GBK"/>
          <w:color w:val="auto"/>
          <w:sz w:val="32"/>
          <w:szCs w:val="32"/>
          <w:highlight w:val="none"/>
          <w:vertAlign w:val="baseline"/>
          <w:lang w:val="en-US" w:eastAsia="zh-CN"/>
        </w:rPr>
        <w:t>(</w:t>
      </w:r>
      <w:r>
        <w:rPr>
          <w:rFonts w:hint="eastAsia" w:ascii="方正仿宋_GBK" w:hAnsi="方正仿宋_GBK" w:eastAsia="方正仿宋_GBK" w:cs="方正仿宋_GBK"/>
          <w:color w:val="auto"/>
          <w:sz w:val="32"/>
          <w:szCs w:val="32"/>
          <w:highlight w:val="none"/>
          <w:vertAlign w:val="baseline"/>
          <w:lang w:eastAsia="zh-CN"/>
        </w:rPr>
        <w:t>内政发〔201</w:t>
      </w:r>
      <w:r>
        <w:rPr>
          <w:rFonts w:hint="eastAsia" w:ascii="方正仿宋_GBK" w:hAnsi="方正仿宋_GBK" w:eastAsia="方正仿宋_GBK" w:cs="方正仿宋_GBK"/>
          <w:color w:val="auto"/>
          <w:sz w:val="32"/>
          <w:szCs w:val="32"/>
          <w:highlight w:val="none"/>
          <w:vertAlign w:val="baseline"/>
          <w:lang w:val="en-US" w:eastAsia="zh-CN"/>
        </w:rPr>
        <w:t>4</w:t>
      </w:r>
      <w:r>
        <w:rPr>
          <w:rFonts w:hint="eastAsia" w:ascii="方正仿宋_GBK" w:hAnsi="方正仿宋_GBK" w:eastAsia="方正仿宋_GBK" w:cs="方正仿宋_GBK"/>
          <w:color w:val="auto"/>
          <w:sz w:val="32"/>
          <w:szCs w:val="32"/>
          <w:highlight w:val="none"/>
          <w:vertAlign w:val="baseline"/>
          <w:lang w:eastAsia="zh-CN"/>
        </w:rPr>
        <w:t>〕1</w:t>
      </w:r>
      <w:r>
        <w:rPr>
          <w:rFonts w:hint="eastAsia" w:ascii="方正仿宋_GBK" w:hAnsi="方正仿宋_GBK" w:eastAsia="方正仿宋_GBK" w:cs="方正仿宋_GBK"/>
          <w:color w:val="auto"/>
          <w:sz w:val="32"/>
          <w:szCs w:val="32"/>
          <w:highlight w:val="none"/>
          <w:vertAlign w:val="baseline"/>
          <w:lang w:val="en-US" w:eastAsia="zh-CN"/>
        </w:rPr>
        <w:t>11</w:t>
      </w:r>
      <w:r>
        <w:rPr>
          <w:rFonts w:hint="eastAsia" w:ascii="方正仿宋_GBK" w:hAnsi="方正仿宋_GBK" w:eastAsia="方正仿宋_GBK" w:cs="方正仿宋_GBK"/>
          <w:color w:val="auto"/>
          <w:sz w:val="32"/>
          <w:szCs w:val="32"/>
          <w:highlight w:val="none"/>
          <w:vertAlign w:val="baseline"/>
          <w:lang w:eastAsia="zh-CN"/>
        </w:rPr>
        <w:t>号</w:t>
      </w:r>
      <w:r>
        <w:rPr>
          <w:rFonts w:hint="eastAsia" w:ascii="方正仿宋_GBK" w:hAnsi="方正仿宋_GBK" w:eastAsia="方正仿宋_GBK" w:cs="方正仿宋_GBK"/>
          <w:color w:val="auto"/>
          <w:sz w:val="32"/>
          <w:szCs w:val="32"/>
          <w:highlight w:val="none"/>
          <w:vertAlign w:val="baseline"/>
          <w:lang w:val="en-US" w:eastAsia="zh-CN"/>
        </w:rPr>
        <w:t>)</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color w:val="auto"/>
          <w:sz w:val="32"/>
          <w:szCs w:val="32"/>
          <w:highlight w:val="none"/>
          <w:vertAlign w:val="baseline"/>
          <w:lang w:val="en-US" w:eastAsia="zh-CN"/>
        </w:rPr>
        <w:t>8.</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《内蒙古自治区人民政府关于促进全区融资担保行业持续规范健康发展的指导意见》（内政发〔2015〕30号）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9.《内蒙古自治区人民政府关于进一步促进房地产市场平稳健康发展的若干意见》（内政发〔2015〕58号）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10.《</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内蒙古自治区人民政府关于印发〈内蒙古自治区有关部门和单位安全生产工作职责规定〉的通知》（内政发〔2015〕145号）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11.《内蒙古自治区人民政府办公厅关于支持村镇银行持续健康发展有关事宜的通知》(内政办发〔2015〕126号)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12.《内蒙古自治区人民政府办公厅关于印发自治区促进社会办医加快发展实施方案的通知》(内政办发〔2015〕140号)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13.《内蒙古自治区人民政府办公厅关于加快融资租赁业发展的实施意见》(内政办发〔2016〕2号)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14.《</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内蒙古自治区人民政府办公厅关于推进线上线下互动加快商贸流通创新发展转型升级的实施意见》(内政办发〔2016〕138号)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15.《内蒙古自治区人民政府办公厅关于印发〈盟市安全生产工作考核办法〉的通知》(内政办发〔2016〕147号)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16.《内蒙古自治区人民政府办公厅关于进一步改革完善药品生产流通使用政策的实施意见》(内政办发〔2017〕111号)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17.《内蒙古自治区人民政府办公厅关于印发〈内蒙古自治区进一步深化基本医疗保险支付方式改革实施方案〉的通知》(内政办发〔2017〕164号)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18.《内蒙古自治区人民政府关于进一步加强扶贫资金使用管理的意见》(内政发〔2018〕21号)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19.《内蒙古自治区人民政府关于印发自治区全面推开“证照分离”改革实施方案的通知》（内政发〔2018〕40号）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sz w:val="32"/>
          <w:szCs w:val="32"/>
          <w:highlight w:val="none"/>
          <w:lang w:val="en-US" w:eastAsia="zh-CN"/>
        </w:rPr>
        <w:t>20.</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《内蒙古自治区人民政府关于印发自治区新兴产业高质量发展实施方案（2018-2020年）的通知》（内政发〔2018〕42号）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21.《内蒙古自治区人民政府办公厅关于公布〈内蒙古自治区重点保护陆生野生动物名录〉的通知》（内政办发〔2018〕86号）</w:t>
      </w:r>
    </w:p>
    <w:p>
      <w:pPr>
        <w:pStyle w:val="2"/>
        <w:keepNext w:val="0"/>
        <w:keepLines w:val="0"/>
        <w:pageBreakBefore w:val="0"/>
        <w:widowControl w:val="0"/>
        <w:kinsoku/>
        <w:wordWrap/>
        <w:overflowPunct/>
        <w:topLinePunct/>
        <w:autoSpaceDE/>
        <w:autoSpaceDN/>
        <w:bidi w:val="0"/>
        <w:adjustRightInd/>
        <w:snapToGrid/>
        <w:spacing w:after="0" w:line="580" w:lineRule="exact"/>
        <w:ind w:left="0" w:leftChars="0" w:firstLine="640" w:firstLineChars="2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二、宣布失效20件</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1.《内蒙古自治区人民政府关于土地登记工作有关事宜的通知》（内政字〔2009〕76号）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2.《内蒙古自治区人民政府办公厅转发自治区人口和计划生育委员会关于“一杯奶”生育关怀行动试点工作意见的通知》（内政办发〔2009〕34号）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3.《内蒙古自治区人民政府关于加强职业培训促进就业的意见》（内政发〔2011〕114号）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4.《内蒙古自治区人民政府办公厅关于发展家庭服务业的实施意见》（内政办发〔2011〕83号）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5.《内蒙古自治区人民政府办公厅关于印发自治区级文化产业园区申报认定管理暂行办法的通知》（内政办发〔2013〕80号）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6.《内蒙古自治区人民政府关于全面深化标准化工作改革的意见》（内政发〔2015〕141号）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spacing w:val="-6"/>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7.《</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内蒙古自治区人民政府关</w:t>
      </w:r>
      <w:r>
        <w:rPr>
          <w:rFonts w:hint="eastAsia" w:ascii="方正仿宋_GBK" w:hAnsi="方正仿宋_GBK" w:eastAsia="方正仿宋_GBK" w:cs="方正仿宋_GBK"/>
          <w:i w:val="0"/>
          <w:color w:val="auto"/>
          <w:spacing w:val="-11"/>
          <w:kern w:val="0"/>
          <w:sz w:val="32"/>
          <w:szCs w:val="32"/>
          <w:highlight w:val="none"/>
          <w:u w:val="none"/>
          <w:lang w:val="en-US" w:eastAsia="zh-CN" w:bidi="ar"/>
        </w:rPr>
        <w:t>于进一步做好城镇棚户区和城乡危房及配套设施建设工作有关事宜的通知》（内政发电〔2015〕25号</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8.《内蒙古自治区人民政府办公厅</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关于印发乡村教师支持计划（2015-2020年）实施办法的通知》（内政办发〔2015〕144号</w:t>
      </w:r>
      <w:r>
        <w:rPr>
          <w:rFonts w:hint="eastAsia" w:ascii="方正仿宋_GBK" w:hAnsi="方正仿宋_GBK" w:eastAsia="方正仿宋_GBK" w:cs="方正仿宋_GBK"/>
          <w:i w:val="0"/>
          <w:color w:val="auto"/>
          <w:kern w:val="0"/>
          <w:sz w:val="32"/>
          <w:szCs w:val="32"/>
          <w:highlight w:val="none"/>
          <w:u w:val="none"/>
          <w:lang w:val="en-US" w:eastAsia="zh-CN" w:bidi="ar"/>
        </w:rPr>
        <w:t>）</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9.《内蒙古自治区人民政府关于做好房地产去库存工作进一步促进房地产业稳步发展的意见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（内政发〔2016〕26号）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10.《内蒙古自治区人民政府办公厅关于加强节能标准化工作的实施意见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（内政办发〔2016〕41号）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11.《内蒙古自治区人民政府办公厅关于全面贯彻落实“四有两责”切实做好食品药品监管工作的意见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（内政办发〔2016〕51号）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12.《内蒙古自治区人民政府办公厅关于加快推进新一轮退耕还林工作的通知</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（内政办发电〔2016〕54号）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color w:val="auto"/>
          <w:sz w:val="32"/>
          <w:szCs w:val="32"/>
          <w:highlight w:val="none"/>
          <w:vertAlign w:val="baseline"/>
          <w:lang w:eastAsia="zh-CN"/>
        </w:rPr>
      </w:pPr>
      <w:r>
        <w:rPr>
          <w:rFonts w:hint="eastAsia" w:ascii="方正仿宋_GBK" w:hAnsi="方正仿宋_GBK" w:eastAsia="方正仿宋_GBK" w:cs="方正仿宋_GBK"/>
          <w:i w:val="0"/>
          <w:color w:val="auto"/>
          <w:kern w:val="0"/>
          <w:sz w:val="32"/>
          <w:szCs w:val="32"/>
          <w:highlight w:val="none"/>
          <w:u w:val="none"/>
          <w:lang w:val="en-US" w:eastAsia="zh-CN" w:bidi="ar"/>
        </w:rPr>
        <w:t>13.《内蒙古自治区人民政府办公厅</w:t>
      </w:r>
      <w:r>
        <w:rPr>
          <w:rFonts w:hint="eastAsia" w:ascii="方正仿宋_GBK" w:hAnsi="方正仿宋_GBK" w:eastAsia="方正仿宋_GBK" w:cs="方正仿宋_GBK"/>
          <w:color w:val="auto"/>
          <w:sz w:val="32"/>
          <w:szCs w:val="32"/>
          <w:highlight w:val="none"/>
          <w:vertAlign w:val="baseline"/>
          <w:lang w:eastAsia="zh-CN"/>
        </w:rPr>
        <w:t>关于推进农村牧区一二三产业融合发展的实施意见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color w:val="auto"/>
          <w:sz w:val="32"/>
          <w:szCs w:val="32"/>
          <w:highlight w:val="none"/>
          <w:vertAlign w:val="baseline"/>
          <w:lang w:eastAsia="zh-CN"/>
        </w:rPr>
        <w:t>（内政办发〔20</w:t>
      </w:r>
      <w:r>
        <w:rPr>
          <w:rFonts w:hint="eastAsia" w:ascii="方正仿宋_GBK" w:hAnsi="方正仿宋_GBK" w:eastAsia="方正仿宋_GBK" w:cs="方正仿宋_GBK"/>
          <w:color w:val="auto"/>
          <w:sz w:val="32"/>
          <w:szCs w:val="32"/>
          <w:highlight w:val="none"/>
          <w:vertAlign w:val="baseline"/>
          <w:lang w:val="en-US" w:eastAsia="zh-CN"/>
        </w:rPr>
        <w:t>16</w:t>
      </w:r>
      <w:r>
        <w:rPr>
          <w:rFonts w:hint="eastAsia" w:ascii="方正仿宋_GBK" w:hAnsi="方正仿宋_GBK" w:eastAsia="方正仿宋_GBK" w:cs="方正仿宋_GBK"/>
          <w:color w:val="auto"/>
          <w:sz w:val="32"/>
          <w:szCs w:val="32"/>
          <w:highlight w:val="none"/>
          <w:vertAlign w:val="baseline"/>
          <w:lang w:eastAsia="zh-CN"/>
        </w:rPr>
        <w:t>〕1</w:t>
      </w:r>
      <w:r>
        <w:rPr>
          <w:rFonts w:hint="eastAsia" w:ascii="方正仿宋_GBK" w:hAnsi="方正仿宋_GBK" w:eastAsia="方正仿宋_GBK" w:cs="方正仿宋_GBK"/>
          <w:color w:val="auto"/>
          <w:sz w:val="32"/>
          <w:szCs w:val="32"/>
          <w:highlight w:val="none"/>
          <w:vertAlign w:val="baseline"/>
          <w:lang w:val="en-US" w:eastAsia="zh-CN"/>
        </w:rPr>
        <w:t>52</w:t>
      </w:r>
      <w:r>
        <w:rPr>
          <w:rFonts w:hint="eastAsia" w:ascii="方正仿宋_GBK" w:hAnsi="方正仿宋_GBK" w:eastAsia="方正仿宋_GBK" w:cs="方正仿宋_GBK"/>
          <w:color w:val="auto"/>
          <w:sz w:val="32"/>
          <w:szCs w:val="32"/>
          <w:highlight w:val="none"/>
          <w:vertAlign w:val="baseline"/>
          <w:lang w:eastAsia="zh-CN"/>
        </w:rPr>
        <w:t>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color w:val="auto"/>
          <w:sz w:val="32"/>
          <w:szCs w:val="32"/>
          <w:highlight w:val="none"/>
          <w:vertAlign w:val="baseline"/>
          <w:lang w:val="en-US" w:eastAsia="zh-CN"/>
        </w:rPr>
        <w:t>14.</w:t>
      </w:r>
      <w:r>
        <w:rPr>
          <w:rFonts w:hint="eastAsia" w:ascii="方正仿宋_GBK" w:hAnsi="方正仿宋_GBK" w:eastAsia="方正仿宋_GBK" w:cs="方正仿宋_GBK"/>
          <w:i w:val="0"/>
          <w:color w:val="auto"/>
          <w:kern w:val="0"/>
          <w:sz w:val="32"/>
          <w:szCs w:val="32"/>
          <w:highlight w:val="none"/>
          <w:u w:val="none"/>
          <w:lang w:val="en-US" w:eastAsia="zh-CN" w:bidi="ar"/>
        </w:rPr>
        <w:t>《内蒙古自治区人民政府办公厅关于印发自治区深化考试招生制度改革实施方案的通知</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（内政办发〔2016〕154号）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15.《内蒙古自治区人民政府办公厅关于支持企业“走出去”开展跨国经营的指导意见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（内政办发〔2016〕201号）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16.《内蒙古自治区人民政府关于加快安全生产信息化建设的指导意见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（内政发〔2017〕3号）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17.《内蒙古自治区人民政府关于支持高等学校又好又快发展办人民满意高等教育的意见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（内政发〔2017〕23号）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18.《内蒙古自治区人民政府办公厅关于印发划定并严守生态保护红线工作方案的通知</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（内政办发〔2017〕133号）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i w:val="0"/>
          <w:color w:val="auto"/>
          <w:kern w:val="0"/>
          <w:sz w:val="32"/>
          <w:szCs w:val="32"/>
          <w:highlight w:val="none"/>
          <w:u w:val="none"/>
          <w:lang w:val="en-US" w:eastAsia="zh-CN" w:bidi="ar"/>
        </w:rPr>
      </w:pPr>
      <w:r>
        <w:rPr>
          <w:rFonts w:hint="eastAsia" w:ascii="方正仿宋_GBK" w:hAnsi="方正仿宋_GBK" w:eastAsia="方正仿宋_GBK" w:cs="方正仿宋_GBK"/>
          <w:i w:val="0"/>
          <w:color w:val="auto"/>
          <w:kern w:val="0"/>
          <w:sz w:val="32"/>
          <w:szCs w:val="32"/>
          <w:highlight w:val="none"/>
          <w:u w:val="none"/>
          <w:lang w:val="en-US" w:eastAsia="zh-CN" w:bidi="ar"/>
        </w:rPr>
        <w:t>19.《内蒙古自治区人民政府办公厅关于推进电子商务与快递物流协同发展的实施意见</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（内政办发〔2018〕38号）</w:t>
      </w:r>
    </w:p>
    <w:p>
      <w:pPr>
        <w:keepNext w:val="0"/>
        <w:keepLines w:val="0"/>
        <w:pageBreakBefore w:val="0"/>
        <w:widowControl w:val="0"/>
        <w:suppressLineNumbers w:val="0"/>
        <w:suppressAutoHyphens/>
        <w:kinsoku/>
        <w:wordWrap/>
        <w:overflowPunct/>
        <w:topLinePunct/>
        <w:autoSpaceDE/>
        <w:autoSpaceDN/>
        <w:bidi w:val="0"/>
        <w:adjustRightInd/>
        <w:snapToGrid/>
        <w:spacing w:line="580" w:lineRule="exact"/>
        <w:ind w:firstLine="640" w:firstLineChars="200"/>
        <w:jc w:val="both"/>
        <w:textAlignment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i w:val="0"/>
          <w:color w:val="auto"/>
          <w:kern w:val="0"/>
          <w:sz w:val="32"/>
          <w:szCs w:val="32"/>
          <w:highlight w:val="none"/>
          <w:u w:val="none"/>
          <w:lang w:val="en-US" w:eastAsia="zh-CN" w:bidi="ar"/>
        </w:rPr>
        <w:t>20.《内蒙古自治区人民政府办公厅关于印发〈内蒙古自治区土壤污染防治三年攻坚计划〉的通知</w:t>
      </w:r>
      <w:r>
        <w:rPr>
          <w:rFonts w:hint="eastAsia" w:ascii="方正仿宋_GBK" w:hAnsi="方正仿宋_GBK" w:eastAsia="方正仿宋_GBK" w:cs="方正仿宋_GBK"/>
          <w:i w:val="0"/>
          <w:color w:val="auto"/>
          <w:spacing w:val="-6"/>
          <w:kern w:val="0"/>
          <w:sz w:val="32"/>
          <w:szCs w:val="32"/>
          <w:highlight w:val="none"/>
          <w:u w:val="none"/>
          <w:lang w:val="en-US" w:eastAsia="zh-CN" w:bidi="ar"/>
        </w:rPr>
        <w:t>》</w:t>
      </w:r>
      <w:r>
        <w:rPr>
          <w:rFonts w:hint="eastAsia" w:ascii="方正仿宋_GBK" w:hAnsi="方正仿宋_GBK" w:eastAsia="方正仿宋_GBK" w:cs="方正仿宋_GBK"/>
          <w:i w:val="0"/>
          <w:color w:val="auto"/>
          <w:kern w:val="0"/>
          <w:sz w:val="32"/>
          <w:szCs w:val="32"/>
          <w:highlight w:val="none"/>
          <w:u w:val="none"/>
          <w:lang w:val="en-US" w:eastAsia="zh-CN" w:bidi="ar"/>
        </w:rPr>
        <w:t>（内政办发〔2018〕97号）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4015C"/>
    <w:rsid w:val="65E4015C"/>
    <w:rsid w:val="72774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rPr>
      <w:rFonts w:ascii="Calibri" w:hAnsi="Calibri" w:eastAsia="宋体"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2022-08-12T13:39:00Z</dcterms:created>
  <dc:creator>zwfw</dc:creator>
  <cp:lastModifiedBy>zwfw</cp:lastModifiedBy>
  <dcterms:modified xsi:type="dcterms:W3CDTF">2022-08-12T13:39:43Z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