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标题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内蒙古自治区人民政府办公厅关于印发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自治区推动城乡建设绿色发展实施方案的通知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" w:firstLineChars="50"/>
        <w:jc w:val="center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eastAsia="zh-CN"/>
        </w:rPr>
        <w:t>内政办发〔2022〕79号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bookmarkStart w:id="1" w:name="_GoBack"/>
      <w:r>
        <w:rPr>
          <w:rFonts w:hint="eastAsia" w:ascii="楷体" w:hAnsi="楷体" w:eastAsia="楷体" w:cs="楷体"/>
          <w:sz w:val="32"/>
          <w:szCs w:val="32"/>
          <w:lang w:eastAsia="zh-CN"/>
        </w:rPr>
        <w:t>各盟行政公署、市人民政府，自治区各委、办、厅、局，各大企业、事业单位：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经自治区人民政府同意，现将《内蒙古自治区推动城乡建设绿色发展实施方案》印发给你们，请结合实际，认真贯彻落实。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/>
        <w:autoSpaceDE/>
        <w:autoSpaceDN/>
        <w:bidi w:val="0"/>
        <w:spacing w:line="580" w:lineRule="exact"/>
        <w:ind w:left="0" w:leftChars="0" w:firstLine="5017" w:firstLineChars="1568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2022年11月18日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ind w:firstLine="64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内蒙古自治区推动城乡建设绿色发展实施方案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pacing w:after="0" w:afterLines="0" w:line="58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为贯彻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落实《中共中央办公厅、国务院办公厅印发〈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关于推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动城乡建设绿色发展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  <w:lang w:eastAsia="zh-CN"/>
        </w:rPr>
        <w:t>的意见〉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  <w:lang w:eastAsia="zh-CN"/>
        </w:rPr>
        <w:t>通知》（中办发〔2021〕37号）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精神，加快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推动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全区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城乡建设绿色发展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，结合自治区实际，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制定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本方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80" w:lineRule="exact"/>
        <w:ind w:firstLine="672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一、总体要求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80" w:lineRule="exact"/>
        <w:ind w:firstLine="67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以习近平新时代中国特色社会主义思想为指导，深入贯彻党的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二十大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精神，全面落实习近平生态文明思想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习近平总书记对内蒙古重要讲话重要指示批示精神，完整、准确、全面贯彻新发展理念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坚持以人民为中心，坚持生态优先、节约优先、保护优先，坚持系统观念，统筹发展与安全，实施城市更新行动和乡村建设行动，加快转变城乡建设方式，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落实碳达峰、碳中和目标任务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，为扎实走好以生态优先、绿色发展为导向的高质量发展新路子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作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到2025年，自治区城乡建设绿色发展取得重大进展，城市整体性、系统性、生长性增强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城乡生态环境质量整体改善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建设方式不断优化，基础设施和建筑绿色品质稳步提升，综合治理能力显著提高，绿色生活方式普遍推广。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到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2035年，城乡建设全面实现绿色发展，碳减排扎实推进，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绿色发展空间格局、产业结构、生产方式和生活方式全面建立，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城乡建设领域治理体系治理能力实现现代化，人与自然和谐共生、宜居宜业宜游、绿色低碳循环的城乡绿色发展局面基本形成。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80" w:lineRule="exact"/>
        <w:ind w:firstLine="672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二、构建集约高效绿色空间载体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）促进区域和城市群绿色发展。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全面对接国家城镇化空间布局，围绕“一群双星多点”城镇空间布局，引导资源要素向城市群集聚，形成与资源环境承载能力相匹配、重大风险防控相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shd w:val="clear" w:color="auto" w:fill="FFFFFF"/>
        </w:rPr>
        <w:t>结合的空间格局。严格落实耕地保护制度，强化生态保护红线、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水资源刚性约束和城镇开发边界管控。统筹开展国土空间生态保护与修复，衔接“三线一单”，协同建设区域生态网络。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推进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呼包鄂乌城市群综合交通、通信网络、能源等基础设施互联互通，积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极创建国家综合货运枢纽补链强链试点。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（自治区发展改革委、工业和信息化厅、自然资源厅、生态环境厅、住房城乡建设厅、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交通运输厅、水利厅、能源局、林草局等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负责，各盟行政公署、市人民政府负责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落实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。以下均需各盟行政公署、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人民政府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落实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，不再列出）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（二）建设人与自然和谐共生的美丽城市。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国土空间规划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，合理确定城镇建设用地规模、国土开发强度，积极探索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混合用地、产城融合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城市空间结构布局。实施城市更新行动，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推动老旧小区综合改造，推行小规模、渐进式有机更新和微改造。积极争创国家系统化全域推进海绵城市建设示范，探索符合内蒙古特色的海绵城市建设路径。推进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>城市黑臭水体整治环境保护专项行动，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到2025年，实现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盟市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级城市建成区黑臭水体长治久清，基本完成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旗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县级市建成区黑臭水体治理任务。加强城市公共文化、教育、医疗卫生、养老服务、福利救助等公共服务设施及无障碍设施建设。推进城市绿道建设，实施城市山体、河湖、湿地生态修复，保护现有城镇绿地和树木，合理布局社区公园、口袋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shd w:val="clear" w:color="auto" w:fill="FFFFFF"/>
        </w:rPr>
        <w:t>公园，提高乡土树种应用比例。推进县城城镇化补短板强弱项，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严格限制县城民用建筑高度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，县城新建住宅以６层为主，最高不超过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层，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确需建设18层以上居住建筑的，应严格充分论证，并确保消防应急、市政配套设施等建设到位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强化县城节约型基础设施建设，推进县城公共服务设施提质扩面，满足群众就地就近进城安家需求。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（自治区发展改革委、教育厅、民政厅、自然资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源厅、生态环境厅、住房城乡建设厅、水利厅、文化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旅游厅、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卫生健康委、体育局、林草局等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（三）积极创建绿色社区和完整社区。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推进绿色社区创建行动，推进社区基础设施绿色化，提高社区信息化智能化水平。开展城市居住社区建设补短板行动，统筹建设公共服务、商业服务、文化体育等设施，构建十五分钟社区生活圈，到2025年，基本补齐既有社区各类公共服务资源短板，城市居住社区环境明显改善，建成一批完整社区试点，全区地级城市完整居住社区覆盖率显著提升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（自治区住房城乡建设厅、发展改革委、教育厅、民政厅、自然资源厅、生态环境厅、商务厅、文化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旅游厅、卫生健康委等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（四）打造绿色生态宜居的美丽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农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村牧区。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应编尽编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原则，科学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编制村庄规划，持续开展乡村建设评价工作。加强农村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牧区供水设施建设，提升分散户的供水保障能力。以生活污水、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垃圾治理、黑臭水体整治和饮用水水源地保护为重点，推进农村牧区人居环境整治，到2025年，全区农村牧区生活污水治理率达到32%。分区分类推进农村牧区厕所革命。提高农房设计水平和建设质量，加强既有农房节能绿色化改造。支持各地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培育发展休闲农牧业等新业态新模式，推动乡村全面振兴。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（自治区农牧厅、发展改革委、自然资源厅、生态环境厅、住房城乡建设厅、交通运输厅、文化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旅游厅、乡村振兴局等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负责）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三、统筹城乡基础设施一体化建设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（五）推动绿色交通体系建设。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优化城市路网结构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适度提高城市道路路网密度，到2025年，城市道路网密度不小于8.5公里/平方公里。加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大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次支街巷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道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路改造力度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打通各类断头路，提高道路通达性和通畅性。依托公交场站、停车场、高速公路服务区等场所，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完善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充电基础设施。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停车泊位供给。鼓励发展共享单车（非助力自行车）等新型交通方式。推动城市步行街改造升级和绿色步道建设，全面开展人行道净化行动。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加强“四好农村路”建设，推进交通基础设施向村户延伸。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（自治区交通运输厅、发展改革委、公安厅、自然资源厅、住房城乡建设厅、能源局等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（六）</w:t>
      </w:r>
      <w:r>
        <w:rPr>
          <w:rFonts w:hint="eastAsia" w:ascii="楷体" w:hAnsi="楷体" w:eastAsia="楷体" w:cs="楷体"/>
          <w:b w:val="0"/>
          <w:bCs w:val="0"/>
          <w:color w:val="auto"/>
          <w:spacing w:val="-6"/>
          <w:sz w:val="32"/>
          <w:szCs w:val="32"/>
          <w:shd w:val="clear" w:color="auto" w:fill="FFFFFF"/>
        </w:rPr>
        <w:t>加强能源基础设施建设。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shd w:val="clear" w:color="auto" w:fill="FFFFFF"/>
        </w:rPr>
        <w:t>推进城镇配电网升级改造，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农村牧区电网改造。加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大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城镇供热管网、燃气管网建设与改造力度，到2025年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完成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运行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</w:rPr>
        <w:t>年限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满20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</w:rPr>
        <w:t>供热管道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，以及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存在泄露隐患、热损失大等问题的其他管道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u w:val="none"/>
          <w:shd w:val="clear" w:color="auto" w:fill="FFFFFF"/>
        </w:rPr>
        <w:t>改造任务，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城镇燃气普及率超过95%，推动供热管网、燃气设施向城乡结合部、农村牧区延伸。加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快推进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呼和浩特市、包头市、乌兰察布市、巴彦淖尔市等国家冬季清洁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取暖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试点城市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任务落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实，逐步提高清洁能源在取暖用能中的比例，到2025年，全区城镇清洁取暖覆盖率超过93%。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（自治区能源局、财政厅、生态环境厅、住房城乡建设厅等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（七）推进水资源节约循环利用设施建设。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城镇供水管网普查与改造，到2025年，城镇用水普及率超过99%，城镇供水管网漏损率控制在10%以下，积极创建国家公共供水管网漏损治理试点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，黄河流域缺水型城市全部达到国家节水型城市标准。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加快城镇污水处理设施建设及配套管网改造建设，推动污水再生利用和污泥稳定化、无害化处理处置，到2025年，缺水城市再生水回用率超过35%，城市污泥无害化处置率超过90%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，黄河流域具备生活污水处理设施的建制镇基本实现全覆盖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（自治区住房城乡建设厅、发展改革委、生态环境厅、水利厅等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（八）推动垃圾资源化无害化处理设施建设。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建立完善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城市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生活垃圾分类投放、收集、运输、处理系统，在呼和浩特市、鄂尔多斯市等城市建成区开展生活垃圾分类示范试点。到2025年，城镇生活垃圾无害化处理率达到100%。加快餐厨废弃物处置设施建设，各盟市实现餐厨垃圾处理设施全覆盖。推进垃圾资源化利用，在设市城市优先发展垃圾焚烧处理。加大建筑垃圾和施工弃土资源化利用力度，积极推动“无废城市”建设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（自治区住房城乡建设厅、发展改革委、生态环境厅等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（九）强化城市防灾减灾体系建设。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优化城市防灾空间，利用公园绿地、广场等预留防灾避难空间和安置重建空间。加强公共消防设施、人防设施、防灾避难场所等防灾减灾基础设施建设。优化城市交通工程设施布局，构建城市快速应急通道。推进城市给排水、供电、供气、供热、交通、信息通讯等生命线系统设施建设。加强超高层建筑防火安全管理。统筹城市防洪排涝设施建设，到2025年，全面消除城市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成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区内严重影响生产生活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安全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的易涝积水点。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（自治区应急厅、发展改革委、工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业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和信息化厅、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bidi="ar"/>
        </w:rPr>
        <w:t>自然资源厅、住房城乡建设厅、交通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eastAsia="zh-CN" w:bidi="ar"/>
        </w:rPr>
        <w:t>运输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bidi="ar"/>
        </w:rPr>
        <w:t>厅、水利厅、人防办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eastAsia="zh-CN" w:bidi="ar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内蒙古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消防救援总队等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80" w:lineRule="exact"/>
        <w:ind w:firstLine="672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四、提高建筑全生命期绿色品质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（十）推动建筑领域碳减排。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</w:rPr>
        <w:t>提高建筑节能标准，积极开展超低能耗、近零能耗和零碳建筑试点示范，持续推进城镇既有居住建筑节能改造，到2025年，完成改造面积1000万平方米。实施公共建筑节能改造。加快热电联产余热、工业余热供暖规模化应用，因地制宜推广太阳能、浅层地热能、空气能等可再生能源建筑应用。在具备条件的城乡建筑中实施电气化工程，推动以电代气、以电代油，推动“光储直柔”等技术应用，实现建筑用能与电网调度柔性互动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（自治区住房城乡建设厅、发展改革委、农牧厅、能源局等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（十一）推动高品质绿色建筑建设。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全区城镇新建建筑全面执行绿色建筑标准，《内蒙古自治区民用建筑节能和绿色建筑发展条例》确定的“四类”民用建筑执行一星级及以上绿色建筑标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准，超高层建筑执行三星级绿色建筑标准。严格绿色建筑规划、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设计、施工、竣工验收监管。实施绿色建筑统一标识制度，强化对绿色建筑评价标识项目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事中事后监管。推进既有建筑绿色化改造，鼓励与城镇老旧小区改造、农村危房改造等同步实施。开展节约型机关、绿色学校、绿色医院创建行动。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（自治区住房城乡建设厅、发展改革委、教育厅、自然资源厅、卫生健康委、机关事务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管理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（十二）</w:t>
      </w:r>
      <w:r>
        <w:rPr>
          <w:rFonts w:hint="eastAsia" w:ascii="楷体" w:hAnsi="楷体" w:eastAsia="楷体" w:cs="楷体"/>
          <w:b w:val="0"/>
          <w:bCs w:val="0"/>
          <w:color w:val="auto"/>
          <w:spacing w:val="-6"/>
          <w:kern w:val="0"/>
          <w:sz w:val="32"/>
          <w:szCs w:val="32"/>
          <w:lang w:bidi="ar"/>
        </w:rPr>
        <w:t>推广绿色建造方式。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shd w:val="clear" w:color="auto" w:fill="FFFFFF"/>
        </w:rPr>
        <w:t>开展绿色建造示范工程创建，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新开工建筑和市政工程全面推行绿色施工模式。大力发展装配式建筑，自2023年起，政府投资工程项目原则上均采用装配式建筑，并逐年提高装配率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到2025年，全区装配式建筑占当年新建建筑面积比例力争达到30%以上，其中，呼和浩特市、包头市、赤峰市、鄂尔多斯市主城区达到40%以上。鼓励公共建筑优先选用装配式钢结构建筑，积极推动钢结构住宅和农房建设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（自治区住房城乡建设厅、发展改革委、工业和信息化厅、自然资源厅等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（十三）</w:t>
      </w:r>
      <w:r>
        <w:rPr>
          <w:rFonts w:hint="eastAsia" w:ascii="楷体" w:hAnsi="楷体" w:eastAsia="楷体" w:cs="楷体"/>
          <w:b w:val="0"/>
          <w:bCs w:val="0"/>
          <w:color w:val="auto"/>
          <w:spacing w:val="-6"/>
          <w:kern w:val="0"/>
          <w:sz w:val="32"/>
          <w:szCs w:val="32"/>
          <w:lang w:bidi="ar"/>
        </w:rPr>
        <w:t>促进绿色建材推广应用。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2"/>
          <w:sz w:val="32"/>
          <w:szCs w:val="32"/>
          <w:shd w:val="clear" w:color="auto" w:fill="FFFFFF"/>
        </w:rPr>
        <w:t>积极开发应用绿色建材，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</w:rPr>
        <w:t>加强绿色建材产品生产、认证、采信应用等监督管理。推动绿色建筑、保障性住房等政府投资或使用财政资金的建设项目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</w:rPr>
        <w:t>以及2万平方米以上的公共建筑、5万平方米以上的居住建筑项目，率先采用获得认证的绿色建材产品。开展绿色建材政府集中采购试点，落实绿色建材政府采购需求标准，提升政府采购工程建筑品质。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工业和信息化厅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、财政厅、市场监管局等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80" w:lineRule="exact"/>
        <w:ind w:firstLine="672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五、提升城乡建设绿色治理能力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（十四）构建城市智慧管理体系。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实施呼包鄂乌智慧城市群建设工程和新型智慧城市示范工程，支持呼和浩特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等城市建设“城市大脑”，鼓励有条件的地区开展“智慧新城新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shd w:val="clear" w:color="auto" w:fill="FFFFFF"/>
        </w:rPr>
        <w:t>区”试点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shd w:val="clear" w:color="auto" w:fill="FFFFFF"/>
        </w:rPr>
        <w:t>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建“数字孪生城市”，逐步推行城市楼宇、公共空间、地下管网等“一张图”数字化管理和城市运行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一网统管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。完善自治区数字化城市管理平台，加强“智慧建筑”“智慧城管”“智慧房产”等数字平台建设与应用，推进自治区、盟市、旗县（市、区）三级平台互联互通。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（自治区住房城乡建设厅、发展改革委、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工业和信息化厅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、大数据局等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（十五）推动形成绿色生活方式。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鼓励使用环保再生产品和绿色设计产品，减少一次性消费品和包装用材消耗，加强塑料污染全链条治理，整治过度包装。推广节能节水用品，倡导绿色装修。鼓励部分空间、部分时间等绿色低碳用能方式，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推进行为节能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。开展绿色出行创建行动，鼓励公众选择公共交通、自行车和步行等出行方式。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（自治区发展改革委、党委宣传部、生态环境厅、住房城乡建设厅、交通运输厅、市场监管局等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（十六）加强历史文化保护传承。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开展全区历史文化资源普查，做好测绘、建档、挂牌工作。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抓好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国家、自治区历史文化名城、名镇、名村创建工作。强化历史建筑保护修缮、改造和使用监管。在城市更新中加强历史文化传承与风貌保护，不拆传统民居，不砍古树名木，采用微改造方式，补齐历史文化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资源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基础设施和服务设施短板，推动历史建筑活化利用和有机更新。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（自治区住房城乡建设厅、自然资源厅、文化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和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旅游厅等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80" w:lineRule="exact"/>
        <w:ind w:firstLine="672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创新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完善工作方法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（十七）统筹城乡规划建设管理。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将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城乡建设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绿色发展要求融入国土空间规划体系，统筹城市布局的经济、生活、生态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安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全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  <w:lang w:eastAsia="zh-CN"/>
        </w:rPr>
        <w:t>需要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，统筹地上地下空间综合利用，统筹各类基础设施建设，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系统推进重大工程项目。提高城市设计水平，加强对城市的空间立体性、平面协调性、风貌整体性、文脉延续性等方面的建设管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控，完善城市形态，提升建筑品质。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  <w:lang w:eastAsia="zh-CN"/>
        </w:rPr>
        <w:t>健全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完善城乡规划、建设、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管理制度，动态管控建设进程，确保一张蓝图实施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绘到底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（自治区自然资源厅、发展改革委、住房城乡建设厅等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（十八）建立城市体检评估制度。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在设区的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市全面启动城市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体检评估工作，建立“一年一体检、五年一评估”常态化机制。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将城市体检成果作为编制城市建设相关规划、实施城市更新和确定项目建设计划的重要依据。建立城市体检基础数据库和信息平台，加强数据综合管理应用，逐步形成集预警、监测、评估、反馈为一体的工作机制。鼓励有条件的旗县（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区）探索开展城市体检工作。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（自治区住房城乡建设厅、发展改革委、自然资源厅等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（十九）推动美好环境共建共治共享。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加强基层治理能力建设。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深化城市管理执法体制改革，提高城市管理和执法能力水平。以公共空间改造、老旧小区改造、市容环境整治、历史文化街区保护与利用、美丽乡村建设、污水处理、垃圾分类等为载体，构建社区生活圈，下沉公共服务和社会管理资源，探索适宜城乡社区治理的项目招投标、奖励等工作机制。推动“五社联动”，及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时掌握社区居民需求，精准补短板、强弱项。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bidi="ar"/>
        </w:rPr>
        <w:t>（自治区民政厅、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发展改革委、生态环境厅、住房城乡建设厅等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after="0" w:afterLines="0" w:line="580" w:lineRule="exact"/>
        <w:ind w:firstLine="672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七、切实加强组织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（二十）加强组织领导。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按照“自治区抓统筹、盟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sz w:val="32"/>
          <w:szCs w:val="32"/>
          <w:shd w:val="clear" w:color="auto" w:fill="FFFFFF"/>
        </w:rPr>
        <w:t>市负总责、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旗县（市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区）抓落实”的原则，加快形成党委统一领导、党政齐抓共管的工作格局。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加强部门统筹协调，推动任务落实。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盟市、旗县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（市、区）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作为城乡建设绿色发展工作的责任主体，要依据国家、自治区确定的目标和要求，制定具体措施，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完善工作机制，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抓好组织实施。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（自治区党委组织部、发展改革委、住房城乡建设厅等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（二十一）强化政策支持。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制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定、修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订城乡建设绿色发展相关政策法规，加大财政对城乡建设绿色发展项目的支持力度。鼓励金融机构创新绿色信贷、保险、债券、基金、碳金融等金融产品，建立完善城乡建设绿色发展项目库。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pacing w:val="0"/>
          <w:sz w:val="32"/>
          <w:szCs w:val="32"/>
          <w:shd w:val="clear" w:color="auto" w:fill="FFFFFF"/>
        </w:rPr>
        <w:t>建设超低能耗建筑，因采取墙体保温技术增加的建筑面积，不计入房屋建筑面积。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支持各盟市因地制宜研究制定容积率奖励政策。合理开放城镇基础设施投资、建设和运营市场，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特许经营、政府购买服务等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办法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吸引社会资本投入。完善差别电价、分时电价和居民阶梯电价政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sz w:val="32"/>
          <w:szCs w:val="32"/>
          <w:shd w:val="clear" w:color="auto" w:fill="FFFFFF"/>
        </w:rPr>
        <w:t>策，加快推进供热计量和按供热量收费。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bidi="ar"/>
        </w:rPr>
        <w:t>（自治区发展改革委、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财政厅、自然资源厅、生态环境厅、住房城乡建设厅、地方金融监管局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，内蒙古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税务局、人民银行呼和浩特中心支行、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内蒙古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银保监局等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（二十二）推动科技创新。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</w:rPr>
        <w:t>围绕城乡建设绿色发展重点工作和重大工程建设需求，统筹布局科研项目立项、研发与成果转化。强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化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</w:rPr>
        <w:t>国家、自治区重点实验室等创新平台对绿色低碳技术的支撑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作用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</w:rPr>
        <w:t>，培育壮大一批绿色低碳技术创新企业。加强城乡建设绿色发展产学研用协同创新，利用技术公告、目录制度等，推广成熟可靠、经济适用的技术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"/>
          <w:sz w:val="32"/>
          <w:szCs w:val="32"/>
          <w:shd w:val="clear" w:color="auto" w:fill="FFFFFF"/>
        </w:rPr>
        <w:t>产品，推动科技成果与市场需求有效衔</w:t>
      </w:r>
      <w:r>
        <w:rPr>
          <w:rFonts w:hint="eastAsia" w:ascii="仿宋" w:hAnsi="仿宋" w:eastAsia="仿宋" w:cs="仿宋"/>
          <w:b w:val="0"/>
          <w:bCs w:val="0"/>
          <w:color w:val="auto"/>
          <w:spacing w:val="6"/>
          <w:kern w:val="2"/>
          <w:sz w:val="32"/>
          <w:szCs w:val="32"/>
          <w:shd w:val="clear" w:color="auto" w:fill="FFFFFF"/>
        </w:rPr>
        <w:t>接。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bidi="ar"/>
        </w:rPr>
        <w:t>（自治区科技厅、发展改革委、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eastAsia="zh-CN" w:bidi="ar"/>
        </w:rPr>
        <w:t>工业和信息化厅</w:t>
      </w:r>
      <w:r>
        <w:rPr>
          <w:rFonts w:hint="eastAsia" w:ascii="楷体" w:hAnsi="楷体" w:eastAsia="楷体" w:cs="楷体"/>
          <w:b w:val="0"/>
          <w:bCs w:val="0"/>
          <w:color w:val="auto"/>
          <w:spacing w:val="6"/>
          <w:kern w:val="0"/>
          <w:sz w:val="32"/>
          <w:szCs w:val="32"/>
          <w:lang w:bidi="ar"/>
        </w:rPr>
        <w:t>、财政厅、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住房城乡建设厅等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72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（二十三）加强宣传培训。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各有关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部门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加强培训宣传，不断提高党政主要负责同志推动城乡建设绿色发展能力和水平。把城乡建设绿色发展作为各级党校、干部学院的教学内容，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提升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各级领导干部和广大专业技术人员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  <w:lang w:eastAsia="zh-CN"/>
        </w:rPr>
        <w:t>绿色发展能力素质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shd w:val="clear" w:color="auto" w:fill="FFFFFF"/>
        </w:rPr>
        <w:t>。充分利用各类新闻媒体加强教育宣传和舆论引导，为城乡建设绿色发展营造良好氛围。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（自治区党委组织部、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党委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宣传部、发展改革委、自然资源厅、生态环境厅、住房城乡建设厅等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eastAsia="zh-CN" w:bidi="ar"/>
        </w:rPr>
        <w:t>按照职责分工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0"/>
          <w:sz w:val="32"/>
          <w:szCs w:val="32"/>
          <w:lang w:bidi="ar"/>
        </w:rPr>
        <w:t>负责）</w:t>
      </w:r>
      <w:bookmarkEnd w:id="1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3"/>
        <w:tblpPr w:leftFromText="180" w:rightFromText="180" w:vertAnchor="text" w:horzAnchor="page" w:tblpXSpec="center" w:tblpY="289"/>
        <w:tblOverlap w:val="never"/>
        <w:tblW w:w="0" w:type="auto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抄送：自治区党委各部门，内蒙古军区，武警内蒙古总队。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048" w:leftChars="499" w:right="210" w:rightChars="100" w:firstLine="0" w:firstLineChars="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自治区监委，自治区</w:t>
            </w:r>
            <w:r>
              <w:rPr>
                <w:rFonts w:hint="eastAsia" w:ascii="仿宋_GB2312" w:eastAsia="仿宋_GB2312"/>
                <w:sz w:val="28"/>
                <w:szCs w:val="28"/>
              </w:rPr>
              <w:t>高级人民法院，检察院。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 w:right="210" w:rightChars="100" w:firstLine="840" w:firstLineChars="3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894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 w:right="210" w:right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内蒙古自治区人民政府办公厅文电处      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altName w:val="Arial Unicode MS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9452" w:y="-23"/>
      <w:rPr>
        <w:rStyle w:val="16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892" w:y="-23"/>
      <w:rPr>
        <w:rStyle w:val="1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6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ZWFmODIxNWFjNzU0MDBlZmNhYzNmMzUyNTRhNWYifQ=="/>
  </w:docVars>
  <w:rsids>
    <w:rsidRoot w:val="00000000"/>
    <w:rsid w:val="0000053B"/>
    <w:rsid w:val="00000BC8"/>
    <w:rsid w:val="00000D35"/>
    <w:rsid w:val="00000E8A"/>
    <w:rsid w:val="00001A5E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F96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2EA1"/>
    <w:rsid w:val="00124296"/>
    <w:rsid w:val="001243C4"/>
    <w:rsid w:val="0012798F"/>
    <w:rsid w:val="00127D04"/>
    <w:rsid w:val="001303D3"/>
    <w:rsid w:val="001316F8"/>
    <w:rsid w:val="00132688"/>
    <w:rsid w:val="00132E64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51C4B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2EC2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275C"/>
    <w:rsid w:val="001F4B62"/>
    <w:rsid w:val="001F53DE"/>
    <w:rsid w:val="002014F1"/>
    <w:rsid w:val="002016DC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573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4F4F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1AC3"/>
    <w:rsid w:val="00302690"/>
    <w:rsid w:val="00302982"/>
    <w:rsid w:val="00303418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6755"/>
    <w:rsid w:val="003B1AA3"/>
    <w:rsid w:val="003B32B0"/>
    <w:rsid w:val="003B59D9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0B67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2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B1"/>
    <w:rsid w:val="005570A3"/>
    <w:rsid w:val="00557BB6"/>
    <w:rsid w:val="005617E0"/>
    <w:rsid w:val="005618EC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20C9"/>
    <w:rsid w:val="00582F58"/>
    <w:rsid w:val="005847C1"/>
    <w:rsid w:val="005903E6"/>
    <w:rsid w:val="005906A6"/>
    <w:rsid w:val="00590E74"/>
    <w:rsid w:val="00593B63"/>
    <w:rsid w:val="005A1F8D"/>
    <w:rsid w:val="005A6087"/>
    <w:rsid w:val="005A67BB"/>
    <w:rsid w:val="005A740E"/>
    <w:rsid w:val="005B0120"/>
    <w:rsid w:val="005B0BCC"/>
    <w:rsid w:val="005B2090"/>
    <w:rsid w:val="005B2A3B"/>
    <w:rsid w:val="005B2A9E"/>
    <w:rsid w:val="005B2AFE"/>
    <w:rsid w:val="005B39F8"/>
    <w:rsid w:val="005B3F4F"/>
    <w:rsid w:val="005C2B4E"/>
    <w:rsid w:val="005C5E3B"/>
    <w:rsid w:val="005C663F"/>
    <w:rsid w:val="005C79E2"/>
    <w:rsid w:val="005D07B3"/>
    <w:rsid w:val="005D1611"/>
    <w:rsid w:val="005E0DCD"/>
    <w:rsid w:val="005E5234"/>
    <w:rsid w:val="005E7F3F"/>
    <w:rsid w:val="005F38E6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28D5"/>
    <w:rsid w:val="006A3076"/>
    <w:rsid w:val="006A3B57"/>
    <w:rsid w:val="006A4BE5"/>
    <w:rsid w:val="006A55AD"/>
    <w:rsid w:val="006A65EF"/>
    <w:rsid w:val="006C492D"/>
    <w:rsid w:val="006C6369"/>
    <w:rsid w:val="006D2826"/>
    <w:rsid w:val="006D44DF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320A"/>
    <w:rsid w:val="006F4AF1"/>
    <w:rsid w:val="006F6C03"/>
    <w:rsid w:val="006F793B"/>
    <w:rsid w:val="006F7A1E"/>
    <w:rsid w:val="007014BE"/>
    <w:rsid w:val="00704458"/>
    <w:rsid w:val="0070677A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4C4E"/>
    <w:rsid w:val="007963A2"/>
    <w:rsid w:val="007A6F05"/>
    <w:rsid w:val="007B097B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4ADE"/>
    <w:rsid w:val="008576F0"/>
    <w:rsid w:val="00857C89"/>
    <w:rsid w:val="00857FE1"/>
    <w:rsid w:val="008611F2"/>
    <w:rsid w:val="0086125A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066F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66E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B7A"/>
    <w:rsid w:val="009D417C"/>
    <w:rsid w:val="009D455E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4782"/>
    <w:rsid w:val="00A51056"/>
    <w:rsid w:val="00A52ADA"/>
    <w:rsid w:val="00A54A96"/>
    <w:rsid w:val="00A54C2D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01E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388B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533"/>
    <w:rsid w:val="00B73E35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6CB8"/>
    <w:rsid w:val="00BE03FB"/>
    <w:rsid w:val="00BE1A66"/>
    <w:rsid w:val="00BE25B8"/>
    <w:rsid w:val="00BE472B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A8C"/>
    <w:rsid w:val="00C67DA4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6622"/>
    <w:rsid w:val="00D9708A"/>
    <w:rsid w:val="00D97AB1"/>
    <w:rsid w:val="00DA1925"/>
    <w:rsid w:val="00DA35CA"/>
    <w:rsid w:val="00DA70FF"/>
    <w:rsid w:val="00DB0CCF"/>
    <w:rsid w:val="00DB3818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2506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41F7"/>
    <w:rsid w:val="00E95E66"/>
    <w:rsid w:val="00E966C3"/>
    <w:rsid w:val="00E97D6F"/>
    <w:rsid w:val="00E97EB0"/>
    <w:rsid w:val="00EA42FC"/>
    <w:rsid w:val="00EA5D2D"/>
    <w:rsid w:val="00EB67DA"/>
    <w:rsid w:val="00EC29B6"/>
    <w:rsid w:val="00EC6399"/>
    <w:rsid w:val="00EC7B6C"/>
    <w:rsid w:val="00ED00C1"/>
    <w:rsid w:val="00ED059D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79AA"/>
    <w:rsid w:val="00F44761"/>
    <w:rsid w:val="00F46AB3"/>
    <w:rsid w:val="00F474B2"/>
    <w:rsid w:val="00F50369"/>
    <w:rsid w:val="00F50692"/>
    <w:rsid w:val="00F5173D"/>
    <w:rsid w:val="00F52276"/>
    <w:rsid w:val="00F565B8"/>
    <w:rsid w:val="00F575A7"/>
    <w:rsid w:val="00F60831"/>
    <w:rsid w:val="00F65AD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1981"/>
    <w:rsid w:val="00FF2340"/>
    <w:rsid w:val="00FF60C7"/>
    <w:rsid w:val="00FF7392"/>
    <w:rsid w:val="023B43DC"/>
    <w:rsid w:val="074D26E8"/>
    <w:rsid w:val="103F37B5"/>
    <w:rsid w:val="13404ED0"/>
    <w:rsid w:val="1A7D41CF"/>
    <w:rsid w:val="1E8A19A3"/>
    <w:rsid w:val="1FD3237E"/>
    <w:rsid w:val="21CE0EBF"/>
    <w:rsid w:val="233A4D13"/>
    <w:rsid w:val="24485B15"/>
    <w:rsid w:val="2DD0111B"/>
    <w:rsid w:val="30F7119E"/>
    <w:rsid w:val="36A557F2"/>
    <w:rsid w:val="3B7D9585"/>
    <w:rsid w:val="3E230BD8"/>
    <w:rsid w:val="3EAB0813"/>
    <w:rsid w:val="3EF8B051"/>
    <w:rsid w:val="3FCC30AF"/>
    <w:rsid w:val="43B84847"/>
    <w:rsid w:val="4BB12688"/>
    <w:rsid w:val="4DD6594D"/>
    <w:rsid w:val="51650C56"/>
    <w:rsid w:val="59719771"/>
    <w:rsid w:val="5BAE3879"/>
    <w:rsid w:val="5E266003"/>
    <w:rsid w:val="5F3F6F59"/>
    <w:rsid w:val="5FE86783"/>
    <w:rsid w:val="64B86B45"/>
    <w:rsid w:val="67FF268C"/>
    <w:rsid w:val="6CFB115A"/>
    <w:rsid w:val="6D7479F5"/>
    <w:rsid w:val="6F2C465B"/>
    <w:rsid w:val="7BEB75AD"/>
    <w:rsid w:val="7D164783"/>
    <w:rsid w:val="7E960D71"/>
    <w:rsid w:val="7F6725C4"/>
    <w:rsid w:val="C1FD8471"/>
    <w:rsid w:val="DF9F5C46"/>
    <w:rsid w:val="EBE60C28"/>
    <w:rsid w:val="F6FD8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next w:val="1"/>
    <w:qFormat/>
    <w:uiPriority w:val="0"/>
    <w:pPr>
      <w:widowControl/>
      <w:spacing w:after="120" w:afterLines="0" w:afterAutospacing="0"/>
      <w:ind w:firstLine="200" w:firstLineChars="200"/>
      <w:jc w:val="left"/>
    </w:pPr>
    <w:rPr>
      <w:rFonts w:ascii="Calibri" w:hAnsi="Calibri" w:eastAsia="仿宋_GB2312" w:cs="Times New Roman"/>
      <w:sz w:val="30"/>
      <w:szCs w:val="24"/>
      <w:lang w:bidi="ar-SA"/>
    </w:rPr>
  </w:style>
  <w:style w:type="paragraph" w:styleId="4">
    <w:name w:val="Body Text Indent"/>
    <w:basedOn w:val="1"/>
    <w:next w:val="5"/>
    <w:qFormat/>
    <w:uiPriority w:val="99"/>
    <w:pPr>
      <w:spacing w:line="580" w:lineRule="exact"/>
      <w:ind w:firstLine="720" w:firstLineChars="225"/>
      <w:jc w:val="both"/>
    </w:pPr>
    <w:rPr>
      <w:rFonts w:ascii="仿宋_GB2312" w:hAnsi="Calibri" w:eastAsia="仿宋_GB2312" w:cs="Times New Roman"/>
      <w:kern w:val="2"/>
      <w:sz w:val="32"/>
      <w:szCs w:val="24"/>
      <w:lang w:bidi="ar-SA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Cs w:val="24"/>
      <w:lang w:bidi="ar-SA"/>
    </w:rPr>
  </w:style>
  <w:style w:type="paragraph" w:styleId="6">
    <w:name w:val="Date"/>
    <w:basedOn w:val="1"/>
    <w:next w:val="1"/>
    <w:link w:val="17"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ody Text Indent 2"/>
    <w:basedOn w:val="1"/>
    <w:qFormat/>
    <w:uiPriority w:val="0"/>
    <w:pPr>
      <w:widowControl/>
      <w:spacing w:after="120" w:line="480" w:lineRule="auto"/>
      <w:ind w:left="420" w:leftChars="200" w:firstLine="200" w:firstLineChars="200"/>
      <w:jc w:val="left"/>
    </w:pPr>
    <w:rPr>
      <w:rFonts w:ascii="Calibri" w:hAnsi="Calibri" w:eastAsia="仿宋_GB2312" w:cs="Times New Roman"/>
      <w:sz w:val="30"/>
      <w:szCs w:val="24"/>
      <w:lang w:bidi="ar-SA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bidi="ar-SA"/>
    </w:rPr>
  </w:style>
  <w:style w:type="paragraph" w:styleId="12">
    <w:name w:val="Title"/>
    <w:basedOn w:val="1"/>
    <w:next w:val="4"/>
    <w:qFormat/>
    <w:uiPriority w:val="99"/>
    <w:pPr>
      <w:ind w:left="640" w:leftChars="200"/>
      <w:outlineLvl w:val="0"/>
    </w:pPr>
    <w:rPr>
      <w:rFonts w:ascii="Arial" w:hAnsi="Arial" w:eastAsia="仿宋_GB2312" w:cs="Times New Roman"/>
      <w:b/>
      <w:kern w:val="0"/>
      <w:sz w:val="32"/>
      <w:szCs w:val="24"/>
      <w:lang w:bidi="ar-SA"/>
    </w:rPr>
  </w:style>
  <w:style w:type="table" w:styleId="14">
    <w:name w:val="Table Grid"/>
    <w:basedOn w:val="13"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customStyle="1" w:styleId="17">
    <w:name w:val=" Char Char2"/>
    <w:basedOn w:val="15"/>
    <w:link w:val="6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18">
    <w:name w:val=" Char Char"/>
    <w:basedOn w:val="15"/>
    <w:link w:val="9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19">
    <w:name w:val=" Char Char1"/>
    <w:basedOn w:val="15"/>
    <w:link w:val="10"/>
    <w:semiHidden/>
    <w:uiPriority w:val="99"/>
    <w:rPr>
      <w:rFonts w:ascii="Calibri" w:hAnsi="Calibri" w:eastAsia="宋体" w:cs="Mongolian Bait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14</Pages>
  <Words>6582</Words>
  <Characters>6674</Characters>
  <Lines>1</Lines>
  <Paragraphs>1</Paragraphs>
  <TotalTime>10</TotalTime>
  <ScaleCrop>false</ScaleCrop>
  <LinksUpToDate>false</LinksUpToDate>
  <CharactersWithSpaces>6680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2012-09-19T12:59:00Z</dcterms:created>
  <dc:creator>阿拉善盟行政公署:打印</dc:creator>
  <cp:lastModifiedBy>哈尼哈尼</cp:lastModifiedBy>
  <cp:lastPrinted>2022-11-19T16:40:31Z</cp:lastPrinted>
  <dcterms:modified xsi:type="dcterms:W3CDTF">2022-11-21T06:32:53Z</dcterms:modified>
  <dc:title>_x0001_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CA9E58D8B37C44F3AC1A8B950827A259</vt:lpwstr>
  </property>
</Properties>
</file>