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560" w:lineRule="exact"/>
        <w:outlineLvl w:val="0"/>
        <w:rPr>
          <w:rFonts w:hint="eastAsia" w:ascii="黑体" w:hAnsi="黑体" w:eastAsia="黑体" w:cs="宋体"/>
          <w:bCs/>
          <w:color w:val="auto"/>
          <w:kern w:val="0"/>
          <w:sz w:val="32"/>
          <w:szCs w:val="32"/>
          <w:lang w:eastAsia="zh-CN"/>
        </w:rPr>
      </w:pPr>
      <w:r>
        <w:rPr>
          <w:rFonts w:hint="eastAsia" w:ascii="黑体" w:hAnsi="黑体" w:eastAsia="黑体" w:cs="宋体"/>
          <w:bCs/>
          <w:color w:val="auto"/>
          <w:kern w:val="0"/>
          <w:sz w:val="32"/>
          <w:szCs w:val="32"/>
        </w:rPr>
        <w:t>附件</w:t>
      </w:r>
      <w:r>
        <w:rPr>
          <w:rFonts w:hint="eastAsia" w:ascii="黑体" w:hAnsi="黑体" w:eastAsia="黑体" w:cs="宋体"/>
          <w:bCs/>
          <w:color w:val="auto"/>
          <w:kern w:val="0"/>
          <w:sz w:val="32"/>
          <w:szCs w:val="32"/>
          <w:lang w:val="en-US" w:eastAsia="zh-CN"/>
        </w:rPr>
        <w:t>6</w:t>
      </w:r>
    </w:p>
    <w:p>
      <w:pPr>
        <w:keepNext w:val="0"/>
        <w:keepLines w:val="0"/>
        <w:pageBreakBefore w:val="0"/>
        <w:widowControl w:val="0"/>
        <w:wordWrap/>
        <w:overflowPunct/>
        <w:topLinePunct w:val="0"/>
        <w:bidi w:val="0"/>
        <w:spacing w:line="560" w:lineRule="exact"/>
        <w:jc w:val="center"/>
        <w:outlineLvl w:val="0"/>
        <w:rPr>
          <w:rFonts w:ascii="宋体" w:hAnsi="宋体" w:eastAsia="宋体" w:cs="宋体"/>
          <w:b/>
          <w:bCs/>
          <w:color w:val="auto"/>
          <w:kern w:val="0"/>
          <w:sz w:val="44"/>
          <w:szCs w:val="44"/>
        </w:rPr>
      </w:pPr>
    </w:p>
    <w:p>
      <w:pPr>
        <w:keepNext w:val="0"/>
        <w:keepLines w:val="0"/>
        <w:pageBreakBefore w:val="0"/>
        <w:widowControl w:val="0"/>
        <w:wordWrap/>
        <w:overflowPunct/>
        <w:topLinePunct w:val="0"/>
        <w:bidi w:val="0"/>
        <w:spacing w:line="560" w:lineRule="exact"/>
        <w:jc w:val="center"/>
        <w:outlineLvl w:val="0"/>
        <w:rPr>
          <w:rFonts w:hint="eastAsia" w:ascii="方正小标宋_GBK" w:hAnsi="方正小标宋_GBK" w:eastAsia="方正小标宋_GBK" w:cs="方正小标宋_GBK"/>
          <w:bCs/>
          <w:color w:val="auto"/>
          <w:kern w:val="0"/>
          <w:sz w:val="44"/>
          <w:szCs w:val="44"/>
        </w:rPr>
      </w:pPr>
      <w:bookmarkStart w:id="0" w:name="_GoBack"/>
      <w:r>
        <w:rPr>
          <w:rFonts w:hint="eastAsia" w:ascii="方正小标宋_GBK" w:hAnsi="方正小标宋_GBK" w:eastAsia="方正小标宋_GBK" w:cs="方正小标宋_GBK"/>
          <w:bCs/>
          <w:color w:val="auto"/>
          <w:kern w:val="0"/>
          <w:sz w:val="44"/>
          <w:szCs w:val="44"/>
        </w:rPr>
        <w:t>环境应急能力建设相关任务内容说明</w:t>
      </w:r>
      <w:bookmarkEnd w:id="0"/>
    </w:p>
    <w:p>
      <w:pPr>
        <w:keepNext w:val="0"/>
        <w:keepLines w:val="0"/>
        <w:pageBreakBefore w:val="0"/>
        <w:widowControl w:val="0"/>
        <w:wordWrap/>
        <w:overflowPunct/>
        <w:topLinePunct w:val="0"/>
        <w:bidi w:val="0"/>
        <w:spacing w:line="560" w:lineRule="exact"/>
        <w:ind w:firstLine="643" w:firstLineChars="200"/>
        <w:rPr>
          <w:rFonts w:ascii="宋体" w:hAnsi="宋体" w:eastAsia="宋体" w:cs="宋体"/>
          <w:b/>
          <w:bCs/>
          <w:color w:val="auto"/>
          <w:kern w:val="0"/>
          <w:sz w:val="32"/>
          <w:szCs w:val="32"/>
        </w:rPr>
      </w:pP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z w:val="32"/>
        </w:rPr>
      </w:pPr>
      <w:r>
        <w:rPr>
          <w:rFonts w:hint="eastAsia" w:ascii="方正仿宋_GBK" w:hAnsi="方正仿宋_GBK" w:eastAsia="方正仿宋_GBK" w:cs="方正仿宋_GBK"/>
          <w:b w:val="0"/>
          <w:bCs/>
          <w:color w:val="auto"/>
          <w:sz w:val="32"/>
        </w:rPr>
        <w:t>环境应急管理队伍：</w:t>
      </w:r>
      <w:r>
        <w:rPr>
          <w:rFonts w:hint="eastAsia" w:ascii="方正仿宋_GBK" w:hAnsi="方正仿宋_GBK" w:eastAsia="方正仿宋_GBK" w:cs="方正仿宋_GBK"/>
          <w:bCs/>
          <w:color w:val="auto"/>
          <w:sz w:val="32"/>
        </w:rPr>
        <w:t>指各级生态环境部门中从事环境应急管理的专兼职人员组成的队伍，包括从事环境应急值守、响应处置、调查评估等工作的人员。</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z w:val="32"/>
        </w:rPr>
      </w:pPr>
      <w:r>
        <w:rPr>
          <w:rFonts w:hint="eastAsia" w:ascii="方正仿宋_GBK" w:hAnsi="方正仿宋_GBK" w:eastAsia="方正仿宋_GBK" w:cs="方正仿宋_GBK"/>
          <w:b w:val="0"/>
          <w:bCs/>
          <w:color w:val="auto"/>
          <w:sz w:val="32"/>
        </w:rPr>
        <w:t>环境应急处置救援队伍：</w:t>
      </w:r>
      <w:r>
        <w:rPr>
          <w:rFonts w:hint="eastAsia" w:ascii="方正仿宋_GBK" w:hAnsi="方正仿宋_GBK" w:eastAsia="方正仿宋_GBK" w:cs="方正仿宋_GBK"/>
          <w:bCs/>
          <w:color w:val="auto"/>
          <w:sz w:val="32"/>
        </w:rPr>
        <w:t>指事件发生后能够组织开展源头封堵、污染削减、废物转运等应急处置救援的专业人员组成的队伍，包括必需的人员及车辆机械等。队伍形式可包括生态环境部门自身组建的队伍，与应急管理、消防</w:t>
      </w:r>
      <w:r>
        <w:rPr>
          <w:rFonts w:hint="eastAsia" w:ascii="方正仿宋_GBK" w:hAnsi="方正仿宋_GBK" w:eastAsia="方正仿宋_GBK" w:cs="方正仿宋_GBK"/>
          <w:bCs/>
          <w:color w:val="auto"/>
          <w:sz w:val="32"/>
          <w:lang w:eastAsia="zh-CN"/>
        </w:rPr>
        <w:t>救援</w:t>
      </w:r>
      <w:r>
        <w:rPr>
          <w:rFonts w:hint="eastAsia" w:ascii="方正仿宋_GBK" w:hAnsi="方正仿宋_GBK" w:eastAsia="方正仿宋_GBK" w:cs="方正仿宋_GBK"/>
          <w:bCs/>
          <w:color w:val="auto"/>
          <w:sz w:val="32"/>
        </w:rPr>
        <w:t>等部门通过签订协议等组建的队伍，与企业等第三方签订协议等组建的队伍。</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z w:val="32"/>
        </w:rPr>
      </w:pPr>
      <w:r>
        <w:rPr>
          <w:rFonts w:hint="eastAsia" w:ascii="方正仿宋_GBK" w:hAnsi="方正仿宋_GBK" w:eastAsia="方正仿宋_GBK" w:cs="方正仿宋_GBK"/>
          <w:b w:val="0"/>
          <w:bCs/>
          <w:color w:val="auto"/>
          <w:sz w:val="32"/>
        </w:rPr>
        <w:t>环境应急物资库：</w:t>
      </w:r>
      <w:r>
        <w:rPr>
          <w:rFonts w:hint="eastAsia" w:ascii="方正仿宋_GBK" w:hAnsi="方正仿宋_GBK" w:eastAsia="方正仿宋_GBK" w:cs="方正仿宋_GBK"/>
          <w:bCs/>
          <w:color w:val="auto"/>
          <w:sz w:val="32"/>
        </w:rPr>
        <w:t>指主要储备环境污染处置物资的物资库。形式可包括生态环境部门主要依靠财政资金建设的物资库，与企业等第三方签订协议明确常备专门用于突发环境</w:t>
      </w:r>
      <w:r>
        <w:rPr>
          <w:rFonts w:hint="eastAsia" w:ascii="方正仿宋_GBK" w:hAnsi="方正仿宋_GBK" w:eastAsia="方正仿宋_GBK" w:cs="方正仿宋_GBK"/>
          <w:bCs/>
          <w:color w:val="auto"/>
          <w:sz w:val="32"/>
          <w:lang w:eastAsia="zh-CN"/>
        </w:rPr>
        <w:t>事</w:t>
      </w:r>
      <w:r>
        <w:rPr>
          <w:rFonts w:hint="eastAsia" w:ascii="方正仿宋_GBK" w:hAnsi="方正仿宋_GBK" w:eastAsia="方正仿宋_GBK" w:cs="方正仿宋_GBK"/>
          <w:bCs/>
          <w:color w:val="auto"/>
          <w:sz w:val="32"/>
        </w:rPr>
        <w:t>件处置使用的物资库等。</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pacing w:val="-6"/>
          <w:sz w:val="32"/>
        </w:rPr>
      </w:pPr>
      <w:r>
        <w:rPr>
          <w:rFonts w:hint="eastAsia" w:ascii="方正仿宋_GBK" w:hAnsi="方正仿宋_GBK" w:eastAsia="方正仿宋_GBK" w:cs="方正仿宋_GBK"/>
          <w:b w:val="0"/>
          <w:bCs/>
          <w:color w:val="auto"/>
          <w:sz w:val="32"/>
        </w:rPr>
        <w:t>环境应急装备：</w:t>
      </w:r>
      <w:r>
        <w:rPr>
          <w:rFonts w:hint="eastAsia" w:ascii="方正仿宋_GBK" w:hAnsi="方正仿宋_GBK" w:eastAsia="方正仿宋_GBK" w:cs="方正仿宋_GBK"/>
          <w:bCs/>
          <w:color w:val="auto"/>
          <w:sz w:val="32"/>
        </w:rPr>
        <w:t>指用于环境应急处置救援的设备等，包括但不限于《生态环境部门重点应急装备配备指导清单》中所列装备。</w:t>
      </w:r>
      <w:r>
        <w:rPr>
          <w:rFonts w:hint="eastAsia" w:ascii="方正仿宋_GBK" w:hAnsi="方正仿宋_GBK" w:eastAsia="方正仿宋_GBK" w:cs="方正仿宋_GBK"/>
          <w:bCs/>
          <w:color w:val="auto"/>
          <w:spacing w:val="-6"/>
          <w:sz w:val="32"/>
        </w:rPr>
        <w:t>可通过购买设备、租用设备、购买服务或社会合作等方式进行配备。</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sz w:val="32"/>
        </w:rPr>
        <w:t>环境应急监测能力：</w:t>
      </w:r>
      <w:r>
        <w:rPr>
          <w:rFonts w:hint="eastAsia" w:ascii="方正仿宋_GBK" w:hAnsi="方正仿宋_GBK" w:eastAsia="方正仿宋_GBK" w:cs="方正仿宋_GBK"/>
          <w:bCs/>
          <w:color w:val="auto"/>
          <w:sz w:val="32"/>
        </w:rPr>
        <w:t>指突发环境事件发生后，开展应急监测所需的人员队伍、仪器设备以及相关制度机制等。人员方面，应参照《生态环境应急监测能力建设指南》，加强人员队伍建设，建立相关工作制度，开展应急监测培训。仪器设备方面，可通过购买设备、租用设备、购买服务或社会合作等方式，按照同时应对两起较大及以上等级事件要求进行配备。</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pacing w:val="6"/>
          <w:sz w:val="32"/>
        </w:rPr>
      </w:pPr>
      <w:r>
        <w:rPr>
          <w:rFonts w:hint="eastAsia" w:ascii="方正仿宋_GBK" w:hAnsi="方正仿宋_GBK" w:eastAsia="方正仿宋_GBK" w:cs="方正仿宋_GBK"/>
          <w:b w:val="0"/>
          <w:bCs/>
          <w:color w:val="auto"/>
          <w:sz w:val="32"/>
        </w:rPr>
        <w:t>环境应急监测预警设施：</w:t>
      </w:r>
      <w:r>
        <w:rPr>
          <w:rFonts w:hint="eastAsia" w:ascii="方正仿宋_GBK" w:hAnsi="方正仿宋_GBK" w:eastAsia="方正仿宋_GBK" w:cs="方正仿宋_GBK"/>
          <w:bCs/>
          <w:color w:val="auto"/>
          <w:sz w:val="32"/>
        </w:rPr>
        <w:t>指在河流重点断面建设特征污染物自动监测设施或依托原有自动监测设施增加区域特征污染物监</w:t>
      </w:r>
      <w:r>
        <w:rPr>
          <w:rFonts w:hint="eastAsia" w:ascii="方正仿宋_GBK" w:hAnsi="方正仿宋_GBK" w:eastAsia="方正仿宋_GBK" w:cs="方正仿宋_GBK"/>
          <w:bCs/>
          <w:color w:val="auto"/>
          <w:spacing w:val="6"/>
          <w:sz w:val="32"/>
        </w:rPr>
        <w:t>测指标，当监测数据异常时，可及时向生态环境部门发出预警信息。</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sz w:val="32"/>
        </w:rPr>
      </w:pPr>
      <w:r>
        <w:rPr>
          <w:rFonts w:hint="eastAsia" w:ascii="方正仿宋_GBK" w:hAnsi="方正仿宋_GBK" w:eastAsia="方正仿宋_GBK" w:cs="方正仿宋_GBK"/>
          <w:b w:val="0"/>
          <w:bCs/>
          <w:color w:val="auto"/>
          <w:sz w:val="32"/>
        </w:rPr>
        <w:t>“一河一策一图”方案：</w:t>
      </w:r>
      <w:r>
        <w:rPr>
          <w:rFonts w:hint="eastAsia" w:ascii="方正仿宋_GBK" w:hAnsi="方正仿宋_GBK" w:eastAsia="方正仿宋_GBK" w:cs="方正仿宋_GBK"/>
          <w:bCs/>
          <w:color w:val="auto"/>
          <w:sz w:val="32"/>
        </w:rPr>
        <w:t>指按照《流域突发水污染事件环境应急“南阳实践”实施技术指南》要求，在调查重点河流水文水系、环境风险源、环境敏感目标、环境应急空间与设施的基础上，编制的环境应急响应方案。</w:t>
      </w:r>
    </w:p>
    <w:p>
      <w:pPr>
        <w:keepNext w:val="0"/>
        <w:keepLines w:val="0"/>
        <w:pageBreakBefore w:val="0"/>
        <w:widowControl w:val="0"/>
        <w:wordWrap/>
        <w:overflowPunct/>
        <w:topLinePunct w:val="0"/>
        <w:bidi w:val="0"/>
        <w:spacing w:line="560" w:lineRule="exact"/>
        <w:ind w:firstLine="640" w:firstLineChars="200"/>
        <w:rPr>
          <w:rFonts w:hint="eastAsia" w:ascii="方正仿宋_GBK" w:hAnsi="方正仿宋_GBK" w:eastAsia="方正仿宋_GBK" w:cs="方正仿宋_GBK"/>
          <w:bCs/>
          <w:color w:val="auto"/>
          <w:lang w:eastAsia="zh-CN"/>
        </w:rPr>
      </w:pPr>
      <w:r>
        <w:rPr>
          <w:rFonts w:hint="eastAsia" w:ascii="方正仿宋_GBK" w:hAnsi="方正仿宋_GBK" w:eastAsia="方正仿宋_GBK" w:cs="方正仿宋_GBK"/>
          <w:b w:val="0"/>
          <w:bCs/>
          <w:color w:val="auto"/>
          <w:sz w:val="32"/>
        </w:rPr>
        <w:t>上下游联防联控机制：</w:t>
      </w:r>
      <w:r>
        <w:rPr>
          <w:rFonts w:hint="eastAsia" w:ascii="方正仿宋_GBK" w:hAnsi="方正仿宋_GBK" w:eastAsia="方正仿宋_GBK" w:cs="方正仿宋_GBK"/>
          <w:bCs/>
          <w:color w:val="auto"/>
          <w:sz w:val="32"/>
        </w:rPr>
        <w:t>指参照</w:t>
      </w:r>
      <w:r>
        <w:rPr>
          <w:rFonts w:hint="eastAsia" w:ascii="方正仿宋_GBK" w:hAnsi="方正仿宋_GBK" w:eastAsia="方正仿宋_GBK" w:cs="方正仿宋_GBK"/>
          <w:bCs/>
          <w:color w:val="auto"/>
          <w:sz w:val="32"/>
          <w:lang w:eastAsia="zh-CN"/>
        </w:rPr>
        <w:t>生态环境部、水利部</w:t>
      </w:r>
      <w:r>
        <w:rPr>
          <w:rFonts w:hint="eastAsia" w:ascii="方正仿宋_GBK" w:hAnsi="方正仿宋_GBK" w:eastAsia="方正仿宋_GBK" w:cs="方正仿宋_GBK"/>
          <w:bCs/>
          <w:color w:val="auto"/>
          <w:sz w:val="32"/>
        </w:rPr>
        <w:t>《关于建立跨省流域上下游突发水污染事件联防联控机制的指导意见》，建立的重点河流相邻市县间上下游联防联控机制。</w:t>
      </w:r>
    </w:p>
    <w:p>
      <w:pPr>
        <w:keepNext w:val="0"/>
        <w:keepLines w:val="0"/>
        <w:pageBreakBefore w:val="0"/>
        <w:widowControl w:val="0"/>
        <w:overflowPunct/>
        <w:topLinePunct w:val="0"/>
        <w:bidi w:val="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2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31C52333"/>
    <w:rsid w:val="31C52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2022-12-30T09:53:00Z</dcterms:created>
  <dc:creator>哈尼哈尼</dc:creator>
  <cp:lastModifiedBy>哈尼哈尼</cp:lastModifiedBy>
  <dcterms:modified xsi:type="dcterms:W3CDTF">2022-12-30T09:53:55Z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98B2EEC883134ED4AB926F80EC8500B8</vt:lpwstr>
  </property>
</Properties>
</file>