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内蒙古自治区人民政府关于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《内蒙古自治区黄河流域国土空间规划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（2021—2035年）》的批复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仿宋" w:hAnsi="仿宋" w:eastAsia="仿宋" w:cs="仿宋"/>
          <w:sz w:val="32"/>
          <w:szCs w:val="32"/>
        </w:rPr>
        <w:t>内政字〔202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63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" w:hAnsi="仿宋" w:eastAsia="仿宋" w:cs="仿宋"/>
          <w:color w:val="000000"/>
          <w:sz w:val="11"/>
          <w:szCs w:val="11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自治区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自然资源厅：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你厅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《关于提请自治区人民政府批准〈内蒙古自治区黄河流域国土空间规划（2021—2035年）〉的请示》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收悉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现批复如下：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原</w:t>
      </w:r>
      <w:r>
        <w:rPr>
          <w:rFonts w:hint="eastAsia" w:ascii="黑体" w:hAnsi="黑体" w:eastAsia="黑体" w:cs="黑体"/>
          <w:color w:val="000000"/>
          <w:spacing w:val="-6"/>
          <w:sz w:val="32"/>
          <w:szCs w:val="32"/>
          <w:shd w:val="clear" w:color="auto" w:fill="FFFFFF"/>
          <w:lang w:eastAsia="zh-CN"/>
        </w:rPr>
        <w:t>则</w:t>
      </w:r>
      <w:r>
        <w:rPr>
          <w:rFonts w:hint="eastAsia" w:ascii="黑体" w:hAnsi="黑体" w:eastAsia="黑体" w:cs="黑体"/>
          <w:color w:val="000000"/>
          <w:spacing w:val="-6"/>
          <w:sz w:val="32"/>
          <w:szCs w:val="32"/>
          <w:shd w:val="clear" w:color="auto" w:fill="FFFFFF"/>
        </w:rPr>
        <w:t>同意《内蒙古自治区黄河流域国土空间规划（2021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—2035年）》（以下简称《规划》）。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《规划》是自治区级国土空间专项规划，是内蒙古黄河流域空间发展的指南、可持续发展的空间蓝图，是各类开发保护建设活动的基本依据，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认真组织实施。《规划》实施要坚持以习近平新时代中国特色社会主义思想为指导，全面贯彻落实党的二十大精神，深入贯彻习近平总书记对内蒙古重要指示精神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和国务院《关于推动内蒙古高质量发展奋力书写中国式现代化新篇章的意见》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认真落实自治区党委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  <w:lang w:eastAsia="zh-CN"/>
        </w:rPr>
        <w:t>和</w:t>
      </w:r>
      <w:r>
        <w:rPr>
          <w:rFonts w:hint="eastAsia" w:ascii="仿宋" w:hAnsi="仿宋" w:eastAsia="仿宋" w:cs="仿宋"/>
          <w:color w:val="auto"/>
          <w:sz w:val="32"/>
          <w:szCs w:val="32"/>
          <w:shd w:val="clear" w:color="auto" w:fill="auto"/>
        </w:rPr>
        <w:t>政府各项决策部署，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完整、准确、全面贯彻新发展理念，坚持以人民为中心，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坚持发展和安全并重，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坚持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以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生态优先、绿色发展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为导向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促进人与自然和谐共生，以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铸牢中华民族共同体意识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为工作主线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共同抓好大保护，协同推进大治理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，统筹推进生态环境保护和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shd w:val="clear" w:color="auto" w:fill="FFFFFF"/>
        </w:rPr>
        <w:t>经济社会发展，从黄河流域系统性着眼，完善流域资源配置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，优化国土空间开发保护格局，健全国土空间管控引导机制，形成多种功能优势互补的主体功能综合布局，推动内蒙古黄河流域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生态保护和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高质量发展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取得明显成效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奋力书写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中国式现代化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内蒙古新篇章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二、筑牢安全发展的空间基础。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到2035年，内蒙古黄河流域耕地保有量不低于4368.7191万亩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其中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永久基本农田保护面积不低于3495.0538万亩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生态保护红线面积不低于12.1134万平方千米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城镇开发边界面积控制在439.7119万亩以内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用水总量不超过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国家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下达指标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全面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锚固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高质量发展的空间底线。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三、构建支撑新发展格局的国土空间体系。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深入实施区域协调发展战略、区域重大战略、主体功能区战略、新型城镇化战略和乡村振兴战略，促进形成主体功能明显、优势互补、高质量发展的国土空间开发保护新格局。按照主体功能定位推动区域发展，增强区域整体竞争力和综合承载力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深度融入共建“一带一路”，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加强与京津冀、黄河流域上下游等区域的协同联动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推动黄河流域生态保护和高质量发展，坚持以生态优先、绿色发展为导向，筑牢我国北方重要生态安全屏障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四、系统优化国土空间开发保护布局。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加强</w:t>
      </w:r>
      <w:r>
        <w:rPr>
          <w:rFonts w:hint="eastAsia" w:ascii="仿宋" w:hAnsi="仿宋" w:eastAsia="仿宋" w:cs="仿宋"/>
          <w:sz w:val="32"/>
          <w:szCs w:val="32"/>
        </w:rPr>
        <w:t>河套平原和土默川平原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等优质农田保护，持续巩固和不断提高黄河流域耕地质量，夯实国家粮仓基础，发展特色农业空间，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实施盐碱地综合利用</w:t>
      </w:r>
      <w:r>
        <w:rPr>
          <w:rFonts w:hint="eastAsia" w:ascii="仿宋" w:hAnsi="仿宋" w:eastAsia="仿宋" w:cs="仿宋"/>
          <w:spacing w:val="6"/>
          <w:sz w:val="32"/>
          <w:szCs w:val="32"/>
          <w:shd w:val="clear" w:color="auto" w:fill="FFFFFF"/>
        </w:rPr>
        <w:t>，建设国家农业高新技术产业示范区，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shd w:val="clear" w:color="auto" w:fill="FFFFFF"/>
        </w:rPr>
        <w:t>提升农产品保障能力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eastAsia="zh-CN"/>
        </w:rPr>
        <w:t>高质量建设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国家重要农畜产品生产基地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。推进水源、山脉、荒漠、森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shd w:val="clear" w:color="auto" w:fill="FFFFFF"/>
        </w:rPr>
        <w:t>林、草原、湖泊、湿地等系统保护修复，将上下游、干支流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、水上岸上、点源面源作为一个整体综合治理，加强阴山山脉、贺兰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shd w:val="clear" w:color="auto" w:fill="FFFFFF"/>
        </w:rPr>
        <w:t>山、</w:t>
      </w:r>
      <w:r>
        <w:rPr>
          <w:rFonts w:hint="eastAsia" w:ascii="仿宋" w:hAnsi="仿宋" w:eastAsia="仿宋" w:cs="仿宋"/>
          <w:spacing w:val="6"/>
          <w:sz w:val="32"/>
          <w:szCs w:val="32"/>
        </w:rPr>
        <w:t>乌兰布和沙漠、腾格里沙漠、库布其沙漠、毛乌素沙地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乌梁素海、哈素海、岱海等重点区域的空间管控引导，改善生态服务功能，提升生物多样性保护水平。优化黄河干支流生产岸线和生活岸线布局结构，强化沿黄国土空间用途管制与保护。</w:t>
      </w:r>
      <w:r>
        <w:rPr>
          <w:rFonts w:hint="eastAsia" w:ascii="仿宋" w:hAnsi="仿宋" w:eastAsia="仿宋" w:cs="仿宋"/>
          <w:sz w:val="32"/>
          <w:szCs w:val="32"/>
        </w:rPr>
        <w:t>严控水资源开发利用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上限，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</w:rPr>
        <w:t>探索实施地下水资源战略储备，加强区域地下水超采综合治理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完善主体功能区制度，推动呼包鄂乌一体化发展区域优化人口、资源、产业配置，推动区域整体统筹产业链、供应链布局，依托城市群、都市圈和中心城市打造产业科技创新高地，为构建新发展格局提供支撑。统筹传统和新型基础设施空间布局，构建现代化基础设施网络，强化防灾减灾救灾基础设施建设，全面提升国土空间韧性。弘扬黄河文化，强化文化遗产与自然遗产整体保护和系统活化利用，健全跨行政区协同机制，将各类遗产保护管理纳入国土空间规划，推动黄河文化与城乡发展相融合，构建文化资源、自然资源、景观资源整体保护的空间体系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，打造祖国北疆亮丽风景线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五、维护规划严肃性权威性。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《规划》是对内蒙古黄河流域国</w:t>
      </w:r>
      <w:r>
        <w:rPr>
          <w:rFonts w:hint="eastAsia" w:ascii="仿宋" w:hAnsi="仿宋" w:eastAsia="仿宋" w:cs="仿宋"/>
          <w:color w:val="000000"/>
          <w:spacing w:val="6"/>
          <w:sz w:val="32"/>
          <w:szCs w:val="32"/>
          <w:shd w:val="clear" w:color="auto" w:fill="FFFFFF"/>
        </w:rPr>
        <w:t>土空间作出的全局安排，是区域国土空间保护、开发、利用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、修复的政策和总纲，是有关地方各级编制实施国土空间规划的重要依据，必须严格执行。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任何部门和个人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不得随意修改、违规变更，对不符合国土空间规划的用地、未批先建等违法违规行为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必须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严肃查处。按照定期体检和五年一评估的要求，健全各级各类国土空间规划实施监测评估预警机制，将规划评估结果作为规划实施监督考核的重要依据。建立健全规划监督、执法、问责联动机制，实施规划全生命周期管理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六、做好规划实施保障。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内蒙古黄河流域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各有关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盟行政公署、市人民政府要加强组织领导，明确责任分工，健全工作机制，完善配套政策措施。做好《规划》印发和公开，强化社会监督。将《规划》确定的目标指标、重点任务等纳入有关地方各级国土空间规划，加快形成统一的国土空间规划体系，统筹国土空间开发保护。强化对水利、交通、能源、农业、信息、市政等基础设施以及公共服务设施、军事设施、生态环境保护、文物保护、林业草原等专项规划的指导约束，在国土空间规划“一张图”上协调解决矛盾问题，合理优化空间布局。充分发挥国土空间规划委员会作用，加强对跨盟市域规划编制实施管理的统筹协调，强化对交界地区市县级国土空间规划的传导要求。按照“统一底图、统一标准、统一规划、统一平台”的要求，完善国土空间规划“一张图”系统和国土空间基础信息平台，建立国土空间规划实施监测网络，提高空间治理数字化水平。各有关部门要坚决贯彻党中央、国务院关于“多规合一”改革的决策部署，不在国土空间规划体系之外另设其他空间规划。《规划》实施中的重大事项要及时请示报告。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4800" w:firstLineChars="1500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内蒙古自治区人民政府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tabs>
          <w:tab w:val="left" w:pos="7640"/>
        </w:tabs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5177" w:firstLineChars="1618"/>
        <w:textAlignment w:val="auto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2024年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29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日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（此件公开发布）</w:t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黑体"/>
          <w:color w:val="000000"/>
          <w:sz w:val="28"/>
          <w:szCs w:val="28"/>
          <w:shd w:val="clear" w:color="auto" w:fill="FFFFFF"/>
        </w:rPr>
      </w:pPr>
      <w:bookmarkStart w:id="2" w:name="_GoBack"/>
      <w:bookmarkEnd w:id="2"/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黑体"/>
          <w:color w:val="000000"/>
          <w:sz w:val="28"/>
          <w:szCs w:val="28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黑体"/>
          <w:color w:val="000000"/>
          <w:sz w:val="28"/>
          <w:szCs w:val="28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黑体"/>
          <w:color w:val="000000"/>
          <w:sz w:val="28"/>
          <w:szCs w:val="28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tabs>
          <w:tab w:val="left" w:pos="666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黑体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hint="eastAsia" w:eastAsia="黑体"/>
          <w:color w:val="000000"/>
          <w:sz w:val="28"/>
          <w:szCs w:val="28"/>
          <w:shd w:val="clear" w:color="auto" w:fill="FFFFFF"/>
          <w:lang w:eastAsia="zh-CN"/>
        </w:rPr>
        <w:tab/>
      </w: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黑体"/>
          <w:color w:val="000000"/>
          <w:sz w:val="28"/>
          <w:szCs w:val="28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黑体"/>
          <w:color w:val="000000"/>
          <w:sz w:val="28"/>
          <w:szCs w:val="28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黑体"/>
          <w:color w:val="000000"/>
          <w:sz w:val="28"/>
          <w:szCs w:val="28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黑体"/>
          <w:color w:val="000000"/>
          <w:sz w:val="28"/>
          <w:szCs w:val="28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黑体"/>
          <w:color w:val="000000"/>
          <w:sz w:val="28"/>
          <w:szCs w:val="28"/>
          <w:shd w:val="clear" w:color="auto" w:fill="FFFFFF"/>
        </w:rPr>
      </w:pPr>
    </w:p>
    <w:p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eastAsia="黑体"/>
          <w:color w:val="000000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50" w:leftChars="100" w:right="210" w:rightChars="100" w:hanging="840" w:hangingChars="300"/>
        <w:jc w:val="left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shd w:val="clear" w:color="auto" w:fill="auto"/>
        </w:rPr>
        <w:t>抄送：</w:t>
      </w:r>
      <w:r>
        <w:rPr>
          <w:rFonts w:hint="eastAsia" w:ascii="仿宋" w:hAnsi="仿宋" w:eastAsia="仿宋" w:cs="仿宋"/>
          <w:spacing w:val="0"/>
          <w:kern w:val="2"/>
          <w:sz w:val="28"/>
          <w:szCs w:val="28"/>
        </w:rPr>
        <w:t>各盟行政公署</w:t>
      </w:r>
      <w:r>
        <w:rPr>
          <w:rFonts w:hint="eastAsia" w:ascii="仿宋" w:hAnsi="仿宋" w:eastAsia="仿宋" w:cs="仿宋"/>
          <w:spacing w:val="-6"/>
          <w:kern w:val="2"/>
          <w:sz w:val="28"/>
          <w:szCs w:val="28"/>
        </w:rPr>
        <w:t>、市人民政府，自治区各</w:t>
      </w:r>
      <w:r>
        <w:rPr>
          <w:rFonts w:hint="eastAsia" w:ascii="仿宋" w:hAnsi="仿宋" w:eastAsia="仿宋" w:cs="仿宋"/>
          <w:spacing w:val="0"/>
          <w:kern w:val="2"/>
          <w:sz w:val="28"/>
          <w:szCs w:val="28"/>
        </w:rPr>
        <w:t>委、办、</w:t>
      </w:r>
      <w:r>
        <w:rPr>
          <w:rFonts w:hint="eastAsia" w:ascii="仿宋" w:hAnsi="仿宋" w:eastAsia="仿宋" w:cs="仿宋"/>
          <w:kern w:val="2"/>
          <w:sz w:val="28"/>
          <w:szCs w:val="28"/>
        </w:rPr>
        <w:t>厅、局，各大企业、事业单位。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210" w:leftChars="100" w:right="210" w:rightChars="100" w:firstLine="840" w:firstLineChars="300"/>
        <w:textAlignment w:val="auto"/>
        <w:rPr>
          <w:rFonts w:hint="eastAsia" w:ascii="仿宋" w:hAnsi="仿宋" w:eastAsia="仿宋" w:cs="仿宋"/>
          <w:spacing w:val="0"/>
          <w:kern w:val="2"/>
          <w:sz w:val="28"/>
          <w:szCs w:val="28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自治区党委各部门，内蒙古军区，武警内蒙古总队。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48" w:leftChars="499" w:right="210" w:rightChars="100" w:firstLine="0" w:firstLineChars="0"/>
        <w:textAlignment w:val="auto"/>
        <w:rPr>
          <w:rFonts w:hint="eastAsia"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spacing w:val="0"/>
          <w:kern w:val="2"/>
          <w:sz w:val="28"/>
          <w:szCs w:val="28"/>
        </w:rPr>
        <w:t>自</w:t>
      </w:r>
      <w:r>
        <w:rPr>
          <w:rFonts w:hint="eastAsia" w:ascii="仿宋" w:hAnsi="仿宋" w:eastAsia="仿宋" w:cs="仿宋"/>
          <w:spacing w:val="6"/>
          <w:kern w:val="2"/>
          <w:sz w:val="28"/>
          <w:szCs w:val="28"/>
        </w:rPr>
        <w:t>治区人大常委会办公厅、政协办公</w:t>
      </w:r>
      <w:r>
        <w:rPr>
          <w:rFonts w:hint="eastAsia" w:ascii="仿宋" w:hAnsi="仿宋" w:eastAsia="仿宋" w:cs="仿宋"/>
          <w:spacing w:val="0"/>
          <w:kern w:val="2"/>
          <w:sz w:val="28"/>
          <w:szCs w:val="28"/>
        </w:rPr>
        <w:t>厅，自治区监委，</w:t>
      </w:r>
      <w:r>
        <w:rPr>
          <w:rFonts w:hint="eastAsia" w:ascii="仿宋" w:hAnsi="仿宋" w:eastAsia="仿宋" w:cs="仿宋"/>
          <w:kern w:val="2"/>
          <w:sz w:val="28"/>
          <w:szCs w:val="28"/>
        </w:rPr>
        <w:t>自治区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048" w:leftChars="499" w:right="210" w:rightChars="100" w:firstLine="0" w:firstLineChars="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kern w:val="2"/>
          <w:sz w:val="28"/>
          <w:szCs w:val="28"/>
        </w:rPr>
        <w:t>高级人民法院，检察院</w:t>
      </w:r>
      <w:r>
        <w:rPr>
          <w:rFonts w:hint="eastAsia" w:ascii="仿宋" w:hAnsi="仿宋" w:eastAsia="仿宋" w:cs="仿宋"/>
          <w:kern w:val="2"/>
          <w:sz w:val="28"/>
          <w:szCs w:val="28"/>
          <w:lang w:eastAsia="zh-CN"/>
        </w:rPr>
        <w:t>。</w:t>
      </w:r>
      <w:bookmarkStart w:id="0" w:name="印章"/>
      <w:bookmarkEnd w:id="0"/>
      <w:r>
        <w:rPr>
          <w:rFonts w:hint="eastAsia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3654425</wp:posOffset>
                </wp:positionH>
                <wp:positionV relativeFrom="margin">
                  <wp:posOffset>8227060</wp:posOffset>
                </wp:positionV>
                <wp:extent cx="1943100" cy="891540"/>
                <wp:effectExtent l="0" t="0" r="0" b="381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</w:pPr>
                            <w:bookmarkStart w:id="1" w:name="二维条码"/>
                            <w:bookmarkEnd w:id="1"/>
                            <w:r>
                              <w:rPr>
                                <w:rFonts w:hint="eastAsia" w:eastAsia="宋体"/>
                                <w:sz w:val="52"/>
                                <w:szCs w:val="52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798955" cy="504190"/>
                                  <wp:effectExtent l="0" t="0" r="10795" b="10160"/>
                                  <wp:docPr id="2" name="图片 5" descr="C:\Users\Administrator\Desktop\NZZ63.jpgNZZ6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5" descr="C:\Users\Administrator\Desktop\NZZ63.jpgNZZ6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98955" cy="5041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none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87.75pt;margin-top:647.8pt;height:70.2pt;width:153pt;mso-position-horizontal-relative:margin;mso-position-vertical-relative:margin;mso-wrap-style:none;z-index:251658240;mso-width-relative:page;mso-height-relative:page;" fillcolor="#FFFFFF" filled="t" stroked="f" coordsize="21600,21600" o:gfxdata="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lqbwF2wAAAA0BAAAPAAAAAAAAAAEAIAAAACIAAABkcnMvZG93bnJldi54&#10;bWxQSwECFAAUAAAACACHTuJA7DiErL4BAABzAwAADgAAAAAAAAABACAAAAAqAQAAZHJzL2Uyb0Rv&#10;Yy54bWxQSwUGAAAAAAYABgBZAQAAWgUAAAAA&#10;">
                <v:fill on="t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</w:pPr>
                      <w:bookmarkStart w:id="1" w:name="二维条码"/>
                      <w:bookmarkEnd w:id="1"/>
                      <w:r>
                        <w:rPr>
                          <w:rFonts w:hint="eastAsia" w:eastAsia="宋体"/>
                          <w:sz w:val="52"/>
                          <w:szCs w:val="52"/>
                          <w:lang w:eastAsia="zh-CN"/>
                        </w:rPr>
                        <w:drawing>
                          <wp:inline distT="0" distB="0" distL="114300" distR="114300">
                            <wp:extent cx="1798955" cy="504190"/>
                            <wp:effectExtent l="0" t="0" r="10795" b="10160"/>
                            <wp:docPr id="2" name="图片 5" descr="C:\Users\Administrator\Desktop\NZZ63.jpgNZZ6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5" descr="C:\Users\Administrator\Desktop\NZZ63.jpgNZZ6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98955" cy="5041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3" w:type="default"/>
      <w:footerReference r:id="rId4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9452" w:y="-23"/>
      <w:rPr>
        <w:rStyle w:val="10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0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- 3 -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page" w:x="1892" w:y="-23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revisionView w:markup="0"/>
  <w:documentProtection w:edit="trackedChanges"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CD"/>
    <w:rsid w:val="00057363"/>
    <w:rsid w:val="001B7709"/>
    <w:rsid w:val="00302982"/>
    <w:rsid w:val="00323128"/>
    <w:rsid w:val="00337358"/>
    <w:rsid w:val="00351DB4"/>
    <w:rsid w:val="00444154"/>
    <w:rsid w:val="00483E09"/>
    <w:rsid w:val="004B2561"/>
    <w:rsid w:val="006048D6"/>
    <w:rsid w:val="006114C2"/>
    <w:rsid w:val="00755D27"/>
    <w:rsid w:val="00825CE1"/>
    <w:rsid w:val="008408A0"/>
    <w:rsid w:val="00861E84"/>
    <w:rsid w:val="008E482C"/>
    <w:rsid w:val="00AC3BB4"/>
    <w:rsid w:val="00B32830"/>
    <w:rsid w:val="00B33ED2"/>
    <w:rsid w:val="00B52F22"/>
    <w:rsid w:val="00B558E6"/>
    <w:rsid w:val="00B8542C"/>
    <w:rsid w:val="00C809B3"/>
    <w:rsid w:val="00CB0B2B"/>
    <w:rsid w:val="00CC1415"/>
    <w:rsid w:val="00D3579F"/>
    <w:rsid w:val="00DD4FCD"/>
    <w:rsid w:val="00DD700A"/>
    <w:rsid w:val="00DF62D9"/>
    <w:rsid w:val="00E751C2"/>
    <w:rsid w:val="00F71128"/>
    <w:rsid w:val="00F94438"/>
    <w:rsid w:val="0AEA2D87"/>
    <w:rsid w:val="0B16636A"/>
    <w:rsid w:val="17C6C79C"/>
    <w:rsid w:val="19506ACA"/>
    <w:rsid w:val="1BF4474B"/>
    <w:rsid w:val="1DFDBE46"/>
    <w:rsid w:val="217D23BA"/>
    <w:rsid w:val="23A33DB4"/>
    <w:rsid w:val="27355263"/>
    <w:rsid w:val="27E04077"/>
    <w:rsid w:val="29255FCE"/>
    <w:rsid w:val="2B0407FB"/>
    <w:rsid w:val="2F7D0B7D"/>
    <w:rsid w:val="2FFE6B6E"/>
    <w:rsid w:val="36193767"/>
    <w:rsid w:val="376F6C8B"/>
    <w:rsid w:val="3E8003A9"/>
    <w:rsid w:val="3EDB5766"/>
    <w:rsid w:val="3FE9B4CC"/>
    <w:rsid w:val="409F469A"/>
    <w:rsid w:val="43CE25A7"/>
    <w:rsid w:val="4BBD5006"/>
    <w:rsid w:val="4DFC3016"/>
    <w:rsid w:val="4F6F9B33"/>
    <w:rsid w:val="4FD33F1F"/>
    <w:rsid w:val="50175530"/>
    <w:rsid w:val="50922B90"/>
    <w:rsid w:val="57FE0CC1"/>
    <w:rsid w:val="5C5DB4EA"/>
    <w:rsid w:val="5D2BC6D7"/>
    <w:rsid w:val="5FC47C57"/>
    <w:rsid w:val="604307FB"/>
    <w:rsid w:val="612A5090"/>
    <w:rsid w:val="67C742AE"/>
    <w:rsid w:val="68C13D1E"/>
    <w:rsid w:val="69AA7AA3"/>
    <w:rsid w:val="69B74AEE"/>
    <w:rsid w:val="6ADE316A"/>
    <w:rsid w:val="6FCA24D5"/>
    <w:rsid w:val="76167F2F"/>
    <w:rsid w:val="76240541"/>
    <w:rsid w:val="76FFEB66"/>
    <w:rsid w:val="77385CF2"/>
    <w:rsid w:val="78DEB427"/>
    <w:rsid w:val="78F9B810"/>
    <w:rsid w:val="79EF7638"/>
    <w:rsid w:val="7BFF7673"/>
    <w:rsid w:val="7C7734A3"/>
    <w:rsid w:val="7C7A8FB2"/>
    <w:rsid w:val="7C7F654E"/>
    <w:rsid w:val="7C95644A"/>
    <w:rsid w:val="7CAF3528"/>
    <w:rsid w:val="7D1850A2"/>
    <w:rsid w:val="7D7FDABD"/>
    <w:rsid w:val="7DBBECE3"/>
    <w:rsid w:val="7E370C58"/>
    <w:rsid w:val="7E5FF43D"/>
    <w:rsid w:val="7E7E1869"/>
    <w:rsid w:val="7FBFFD5D"/>
    <w:rsid w:val="7FE759E7"/>
    <w:rsid w:val="7FFF40AD"/>
    <w:rsid w:val="8FFEF091"/>
    <w:rsid w:val="9D7638F2"/>
    <w:rsid w:val="9E971EE5"/>
    <w:rsid w:val="ABDF252A"/>
    <w:rsid w:val="AD0F0126"/>
    <w:rsid w:val="B7F38239"/>
    <w:rsid w:val="B9EFE12A"/>
    <w:rsid w:val="BFDFD48E"/>
    <w:rsid w:val="C4FB7195"/>
    <w:rsid w:val="CFFF01E0"/>
    <w:rsid w:val="D6CD8DC3"/>
    <w:rsid w:val="D6FF8B64"/>
    <w:rsid w:val="D7F7D111"/>
    <w:rsid w:val="D9FC5180"/>
    <w:rsid w:val="DBFE83E8"/>
    <w:rsid w:val="DD7DC712"/>
    <w:rsid w:val="DDED4541"/>
    <w:rsid w:val="DFBFF4F9"/>
    <w:rsid w:val="E3D387F7"/>
    <w:rsid w:val="E7FB2693"/>
    <w:rsid w:val="EBB752CD"/>
    <w:rsid w:val="ECDF789E"/>
    <w:rsid w:val="ED5535EA"/>
    <w:rsid w:val="EDC72FF5"/>
    <w:rsid w:val="EF97A391"/>
    <w:rsid w:val="EFFBC4C8"/>
    <w:rsid w:val="F4BEF1CD"/>
    <w:rsid w:val="F58FE927"/>
    <w:rsid w:val="F5F795E2"/>
    <w:rsid w:val="F5FF4AB2"/>
    <w:rsid w:val="F75B5F61"/>
    <w:rsid w:val="F75C4ACF"/>
    <w:rsid w:val="F77B2F4E"/>
    <w:rsid w:val="F7D3877D"/>
    <w:rsid w:val="F7EB93D9"/>
    <w:rsid w:val="F93F0202"/>
    <w:rsid w:val="F9FF3B1E"/>
    <w:rsid w:val="FAEA7907"/>
    <w:rsid w:val="FB6D5025"/>
    <w:rsid w:val="FD526056"/>
    <w:rsid w:val="FDFFC46E"/>
    <w:rsid w:val="FE7F6C68"/>
    <w:rsid w:val="FE87A3E3"/>
    <w:rsid w:val="FEDDF4B7"/>
    <w:rsid w:val="FF3EB4B9"/>
    <w:rsid w:val="FF919358"/>
    <w:rsid w:val="FFDF7AA2"/>
    <w:rsid w:val="FFF9E6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  <w:rPr>
      <w:rFonts w:ascii="仿宋_GB2312" w:hAnsi="Times New Roman" w:eastAsia="仿宋_GB2312" w:cs="Times New Roman"/>
      <w:sz w:val="32"/>
      <w:szCs w:val="24"/>
    </w:rPr>
  </w:style>
  <w:style w:type="paragraph" w:styleId="3">
    <w:name w:val="Balloon Text"/>
    <w:basedOn w:val="1"/>
    <w:link w:val="12"/>
    <w:unhideWhenUsed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4">
    <w:name w:val="footer"/>
    <w:basedOn w:val="1"/>
    <w:link w:val="1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0">
    <w:name w:val="page number"/>
    <w:basedOn w:val="9"/>
    <w:uiPriority w:val="0"/>
  </w:style>
  <w:style w:type="character" w:customStyle="1" w:styleId="11">
    <w:name w:val="日期 Char"/>
    <w:basedOn w:val="9"/>
    <w:link w:val="2"/>
    <w:qFormat/>
    <w:uiPriority w:val="0"/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customStyle="1" w:styleId="12">
    <w:name w:val="批注框文本 Char"/>
    <w:basedOn w:val="9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3">
    <w:name w:val="页脚 Char"/>
    <w:basedOn w:val="9"/>
    <w:link w:val="4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眉 Char"/>
    <w:basedOn w:val="9"/>
    <w:link w:val="5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</Template>
  <Company>Lenovo (Beijing) Limited</Company>
  <Pages>1</Pages>
  <Words>3</Words>
  <Characters>21</Characters>
  <Lines>1</Lines>
  <Paragraphs>1</Paragraphs>
  <TotalTime>7</TotalTime>
  <ScaleCrop>false</ScaleCrop>
  <LinksUpToDate>false</LinksUpToDate>
  <CharactersWithSpaces>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2021-12-14T10:21:00Z</dcterms:created>
  <dc:creator>王蕾:打印</dc:creator>
  <cp:lastModifiedBy>哈斯高娃:返回拟稿人</cp:lastModifiedBy>
  <dcterms:modified xsi:type="dcterms:W3CDTF">2024-04-09T01:22:10Z</dcterms:modified>
  <dc:title>_x0001_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