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1CBE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p>
    <w:p w14:paraId="4C01376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p>
    <w:p w14:paraId="56C72F4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p>
    <w:p w14:paraId="11C02A34">
      <w:pPr>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内蒙古自治区人民政府令</w:t>
      </w:r>
    </w:p>
    <w:p w14:paraId="0D234507">
      <w:pPr>
        <w:jc w:val="center"/>
      </w:pPr>
    </w:p>
    <w:p w14:paraId="43C33CFF">
      <w:pPr>
        <w:jc w:val="both"/>
        <w:rPr>
          <w:rFonts w:hint="eastAsia" w:eastAsia="宋体"/>
          <w:lang w:eastAsia="zh-CN"/>
        </w:rPr>
      </w:pPr>
      <w:bookmarkStart w:id="0" w:name="文号"/>
      <w:bookmarkEnd w:id="0"/>
    </w:p>
    <w:p w14:paraId="539DA524">
      <w:pPr>
        <w:jc w:val="center"/>
      </w:pPr>
    </w:p>
    <w:p w14:paraId="78C245ED">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黑体" w:hAnsi="黑体" w:eastAsia="黑体" w:cs="黑体"/>
          <w:b w:val="0"/>
          <w:bCs/>
          <w:sz w:val="44"/>
          <w:szCs w:val="44"/>
        </w:rPr>
      </w:pPr>
      <w:bookmarkStart w:id="1" w:name="标题"/>
      <w:bookmarkEnd w:id="1"/>
      <w:r>
        <w:rPr>
          <w:rFonts w:hint="eastAsia" w:ascii="黑体" w:hAnsi="黑体" w:eastAsia="黑体" w:cs="黑体"/>
          <w:b w:val="0"/>
          <w:bCs/>
          <w:sz w:val="44"/>
          <w:szCs w:val="44"/>
        </w:rPr>
        <w:t xml:space="preserve">第 </w:t>
      </w:r>
      <w:r>
        <w:rPr>
          <w:rFonts w:hint="eastAsia" w:ascii="黑体" w:hAnsi="黑体" w:eastAsia="黑体" w:cs="黑体"/>
          <w:b w:val="0"/>
          <w:bCs/>
          <w:sz w:val="44"/>
          <w:szCs w:val="44"/>
          <w:lang w:val="en-US" w:eastAsia="zh-CN"/>
        </w:rPr>
        <w:t>266</w:t>
      </w:r>
      <w:r>
        <w:rPr>
          <w:rFonts w:hint="eastAsia" w:ascii="黑体" w:hAnsi="黑体" w:eastAsia="黑体" w:cs="黑体"/>
          <w:b w:val="0"/>
          <w:bCs/>
          <w:sz w:val="44"/>
          <w:szCs w:val="44"/>
        </w:rPr>
        <w:t xml:space="preserve"> 号</w:t>
      </w:r>
    </w:p>
    <w:p w14:paraId="51CCAB12">
      <w:pPr>
        <w:keepNext w:val="0"/>
        <w:keepLines w:val="0"/>
        <w:pageBreakBefore w:val="0"/>
        <w:widowControl w:val="0"/>
        <w:kinsoku/>
        <w:wordWrap/>
        <w:overflowPunct/>
        <w:topLinePunct w:val="0"/>
        <w:autoSpaceDE/>
        <w:autoSpaceDN/>
        <w:bidi w:val="0"/>
        <w:adjustRightInd/>
        <w:snapToGrid/>
        <w:spacing w:line="580" w:lineRule="exact"/>
        <w:rPr>
          <w:rFonts w:hint="eastAsia" w:ascii="仿宋_GB2312" w:eastAsia="仿宋_GB2312"/>
          <w:b/>
          <w:sz w:val="36"/>
          <w:szCs w:val="36"/>
        </w:rPr>
      </w:pPr>
    </w:p>
    <w:p w14:paraId="2CA1AFD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480" w:firstLineChars="150"/>
        <w:jc w:val="both"/>
        <w:textAlignment w:val="auto"/>
        <w:outlineLvl w:val="9"/>
        <w:rPr>
          <w:rFonts w:hint="eastAsia" w:ascii="仿宋" w:hAnsi="仿宋" w:eastAsia="仿宋" w:cs="仿宋"/>
          <w:sz w:val="32"/>
          <w:szCs w:val="32"/>
        </w:rPr>
      </w:pPr>
      <w:r>
        <w:rPr>
          <w:rFonts w:hint="eastAsia" w:ascii="仿宋" w:hAnsi="仿宋" w:eastAsia="仿宋" w:cs="仿宋"/>
          <w:sz w:val="32"/>
          <w:lang w:val="en" w:eastAsia="zh-CN"/>
        </w:rPr>
        <w:t>《</w:t>
      </w:r>
      <w:r>
        <w:rPr>
          <w:rFonts w:hint="eastAsia" w:ascii="仿宋" w:hAnsi="仿宋" w:eastAsia="仿宋" w:cs="仿宋"/>
          <w:sz w:val="32"/>
          <w:lang w:eastAsia="zh-CN"/>
        </w:rPr>
        <w:t>内蒙古自治区人民政府关于修改和废止部分政府规章的决定</w:t>
      </w:r>
      <w:r>
        <w:rPr>
          <w:rFonts w:hint="eastAsia" w:ascii="仿宋" w:hAnsi="仿宋" w:eastAsia="仿宋" w:cs="仿宋"/>
          <w:sz w:val="32"/>
          <w:lang w:val="en" w:eastAsia="zh-CN"/>
        </w:rPr>
        <w:t>》</w:t>
      </w:r>
      <w:r>
        <w:rPr>
          <w:rFonts w:hint="eastAsia" w:ascii="仿宋" w:hAnsi="仿宋" w:eastAsia="仿宋" w:cs="仿宋"/>
          <w:sz w:val="32"/>
        </w:rPr>
        <w:t>已经202</w:t>
      </w:r>
      <w:r>
        <w:rPr>
          <w:rFonts w:hint="eastAsia" w:ascii="仿宋" w:hAnsi="仿宋" w:eastAsia="仿宋" w:cs="仿宋"/>
          <w:sz w:val="32"/>
          <w:lang w:val="en"/>
        </w:rPr>
        <w:t>4</w:t>
      </w:r>
      <w:r>
        <w:rPr>
          <w:rFonts w:hint="eastAsia" w:ascii="仿宋" w:hAnsi="仿宋" w:eastAsia="仿宋" w:cs="仿宋"/>
          <w:sz w:val="32"/>
        </w:rPr>
        <w:t>年</w:t>
      </w:r>
      <w:r>
        <w:rPr>
          <w:rFonts w:hint="eastAsia" w:ascii="仿宋" w:hAnsi="仿宋" w:eastAsia="仿宋" w:cs="仿宋"/>
          <w:sz w:val="32"/>
          <w:lang w:val="en"/>
        </w:rPr>
        <w:t>4</w:t>
      </w:r>
      <w:r>
        <w:rPr>
          <w:rFonts w:hint="eastAsia" w:ascii="仿宋" w:hAnsi="仿宋" w:eastAsia="仿宋" w:cs="仿宋"/>
          <w:sz w:val="32"/>
        </w:rPr>
        <w:t>月</w:t>
      </w:r>
      <w:r>
        <w:rPr>
          <w:rFonts w:hint="eastAsia" w:ascii="仿宋" w:hAnsi="仿宋" w:eastAsia="仿宋" w:cs="仿宋"/>
          <w:sz w:val="32"/>
          <w:lang w:val="en-US" w:eastAsia="zh-CN"/>
        </w:rPr>
        <w:t>2</w:t>
      </w:r>
      <w:r>
        <w:rPr>
          <w:rFonts w:hint="eastAsia" w:ascii="仿宋" w:hAnsi="仿宋" w:eastAsia="仿宋" w:cs="仿宋"/>
          <w:sz w:val="32"/>
          <w:lang w:val="en" w:eastAsia="zh-CN"/>
        </w:rPr>
        <w:t>5</w:t>
      </w:r>
      <w:r>
        <w:rPr>
          <w:rFonts w:hint="eastAsia" w:ascii="仿宋" w:hAnsi="仿宋" w:eastAsia="仿宋" w:cs="仿宋"/>
          <w:sz w:val="32"/>
        </w:rPr>
        <w:t>日自治区人民</w:t>
      </w:r>
      <w:r>
        <w:rPr>
          <w:rFonts w:hint="eastAsia" w:ascii="仿宋" w:hAnsi="仿宋" w:eastAsia="仿宋" w:cs="仿宋"/>
          <w:sz w:val="32"/>
          <w:lang w:eastAsia="zh-CN"/>
        </w:rPr>
        <w:t>政府</w:t>
      </w:r>
      <w:r>
        <w:rPr>
          <w:rFonts w:hint="eastAsia" w:ascii="仿宋" w:hAnsi="仿宋" w:eastAsia="仿宋" w:cs="仿宋"/>
          <w:sz w:val="32"/>
        </w:rPr>
        <w:t>第</w:t>
      </w:r>
      <w:r>
        <w:rPr>
          <w:rFonts w:hint="eastAsia" w:ascii="仿宋" w:hAnsi="仿宋" w:eastAsia="仿宋" w:cs="仿宋"/>
          <w:sz w:val="32"/>
          <w:lang w:val="en"/>
        </w:rPr>
        <w:t>12</w:t>
      </w:r>
      <w:r>
        <w:rPr>
          <w:rFonts w:hint="eastAsia" w:ascii="仿宋" w:hAnsi="仿宋" w:eastAsia="仿宋" w:cs="仿宋"/>
          <w:sz w:val="32"/>
        </w:rPr>
        <w:t>次常务会议</w:t>
      </w:r>
      <w:r>
        <w:rPr>
          <w:rFonts w:hint="eastAsia" w:ascii="仿宋" w:hAnsi="仿宋" w:eastAsia="仿宋" w:cs="仿宋"/>
          <w:sz w:val="32"/>
          <w:lang w:eastAsia="zh-CN"/>
        </w:rPr>
        <w:t>审议</w:t>
      </w:r>
      <w:r>
        <w:rPr>
          <w:rFonts w:hint="eastAsia" w:ascii="仿宋" w:hAnsi="仿宋" w:eastAsia="仿宋" w:cs="仿宋"/>
          <w:sz w:val="32"/>
        </w:rPr>
        <w:t>通过，</w:t>
      </w:r>
      <w:r>
        <w:rPr>
          <w:rFonts w:hint="eastAsia" w:ascii="仿宋" w:hAnsi="仿宋" w:eastAsia="仿宋" w:cs="仿宋"/>
          <w:sz w:val="32"/>
          <w:szCs w:val="32"/>
        </w:rPr>
        <w:t>现予公布，自</w:t>
      </w:r>
      <w:r>
        <w:rPr>
          <w:rFonts w:hint="eastAsia" w:ascii="仿宋" w:hAnsi="仿宋" w:eastAsia="仿宋" w:cs="仿宋"/>
          <w:sz w:val="32"/>
          <w:szCs w:val="32"/>
          <w:lang w:eastAsia="zh-CN"/>
        </w:rPr>
        <w:t>公布之日起</w:t>
      </w:r>
      <w:r>
        <w:rPr>
          <w:rFonts w:hint="eastAsia" w:ascii="仿宋" w:hAnsi="仿宋" w:eastAsia="仿宋" w:cs="仿宋"/>
          <w:sz w:val="32"/>
          <w:szCs w:val="32"/>
        </w:rPr>
        <w:t>施行。</w:t>
      </w:r>
    </w:p>
    <w:p w14:paraId="6553F9AC">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方正仿宋_GBK" w:hAnsi="方正仿宋_GBK" w:eastAsia="仿宋" w:cs="方正仿宋_GBK"/>
          <w:sz w:val="32"/>
          <w:szCs w:val="32"/>
          <w:lang w:val="en-US" w:eastAsia="zh-CN"/>
        </w:rPr>
      </w:pPr>
    </w:p>
    <w:p w14:paraId="610474BB">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方正仿宋_GBK" w:hAnsi="方正仿宋_GBK" w:eastAsia="仿宋" w:cs="方正仿宋_GBK"/>
          <w:sz w:val="32"/>
          <w:szCs w:val="32"/>
          <w:lang w:val="en-US" w:eastAsia="zh-CN"/>
        </w:rPr>
      </w:pPr>
    </w:p>
    <w:p w14:paraId="02EC7868">
      <w:pPr>
        <w:keepNext w:val="0"/>
        <w:keepLines w:val="0"/>
        <w:pageBreakBefore w:val="0"/>
        <w:widowControl w:val="0"/>
        <w:kinsoku/>
        <w:wordWrap/>
        <w:overflowPunct/>
        <w:topLinePunct/>
        <w:autoSpaceDE/>
        <w:autoSpaceDN/>
        <w:bidi w:val="0"/>
        <w:adjustRightInd/>
        <w:snapToGrid/>
        <w:spacing w:line="580" w:lineRule="exact"/>
        <w:textAlignment w:val="auto"/>
        <w:rPr>
          <w:rFonts w:hint="default" w:ascii="方正仿宋_GBK" w:hAnsi="方正仿宋_GBK" w:eastAsia="仿宋" w:cs="方正仿宋_GBK"/>
          <w:sz w:val="32"/>
          <w:szCs w:val="32"/>
          <w:lang w:val="en-US" w:eastAsia="zh-CN"/>
        </w:rPr>
      </w:pPr>
      <w:r>
        <w:rPr>
          <w:rFonts w:hint="eastAsia" w:ascii="方正仿宋_GBK" w:hAnsi="方正仿宋_GBK" w:eastAsia="仿宋" w:cs="方正仿宋_GBK"/>
          <w:sz w:val="32"/>
          <w:szCs w:val="32"/>
          <w:lang w:val="en-US" w:eastAsia="zh-CN"/>
        </w:rPr>
        <w:t xml:space="preserve">                     </w:t>
      </w:r>
      <w:r>
        <w:rPr>
          <w:rFonts w:hint="eastAsia" w:ascii="黑体" w:hAnsi="黑体" w:eastAsia="黑体" w:cs="黑体"/>
          <w:sz w:val="32"/>
          <w:szCs w:val="32"/>
          <w:lang w:val="en-US" w:eastAsia="zh-CN"/>
        </w:rPr>
        <w:t xml:space="preserve">             </w:t>
      </w:r>
      <w:bookmarkStart w:id="3" w:name="_GoBack"/>
      <w:bookmarkEnd w:id="3"/>
      <w:r>
        <w:rPr>
          <w:rFonts w:hint="eastAsia" w:ascii="黑体" w:hAnsi="黑体" w:eastAsia="黑体" w:cs="黑体"/>
          <w:sz w:val="32"/>
          <w:szCs w:val="32"/>
          <w:lang w:val="en-US" w:eastAsia="zh-CN"/>
        </w:rPr>
        <w:t>自治区主席</w:t>
      </w:r>
      <w:r>
        <w:rPr>
          <w:rFonts w:hint="eastAsia" w:ascii="方正仿宋_GBK" w:hAnsi="方正仿宋_GBK" w:eastAsia="仿宋" w:cs="方正仿宋_GBK"/>
          <w:sz w:val="32"/>
          <w:szCs w:val="32"/>
          <w:lang w:val="en-US" w:eastAsia="zh-CN"/>
        </w:rPr>
        <w:t>　　 </w:t>
      </w:r>
    </w:p>
    <w:p w14:paraId="4372BE40">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仿宋_GBK" w:hAnsi="方正仿宋_GBK" w:eastAsia="仿宋" w:cs="方正仿宋_GBK"/>
          <w:sz w:val="32"/>
          <w:szCs w:val="32"/>
          <w:lang w:val="en-US" w:eastAsia="zh-CN"/>
        </w:rPr>
      </w:pPr>
    </w:p>
    <w:p w14:paraId="3B38FEE0">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i w:val="0"/>
          <w:caps w:val="0"/>
          <w:color w:val="333333"/>
          <w:spacing w:val="0"/>
          <w:sz w:val="32"/>
          <w:szCs w:val="32"/>
        </w:rPr>
      </w:pPr>
      <w:r>
        <w:rPr>
          <w:rFonts w:hint="eastAsia" w:ascii="方正仿宋_GBK" w:hAnsi="方正仿宋_GBK" w:eastAsia="仿宋" w:cs="方正仿宋_GBK"/>
          <w:sz w:val="32"/>
          <w:szCs w:val="32"/>
          <w:lang w:val="en-US" w:eastAsia="zh-CN"/>
        </w:rPr>
        <w:t xml:space="preserve">                               </w:t>
      </w:r>
      <w:r>
        <w:rPr>
          <w:rFonts w:hint="eastAsia" w:ascii="仿宋" w:hAnsi="仿宋" w:eastAsia="仿宋" w:cs="仿宋"/>
          <w:sz w:val="32"/>
          <w:szCs w:val="32"/>
          <w:lang w:val="en-US" w:eastAsia="zh-CN"/>
        </w:rPr>
        <w:t xml:space="preserve">  2024年5月8日</w:t>
      </w:r>
    </w:p>
    <w:p w14:paraId="45395F83">
      <w:pPr>
        <w:pStyle w:val="43"/>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jc w:val="both"/>
        <w:outlineLvl w:val="9"/>
        <w:rPr>
          <w:rFonts w:hint="eastAsia" w:ascii="仿宋_GB2312" w:hAnsi="仿宋_GB2312" w:eastAsia="仿宋_GB2312" w:cs="仿宋_GB2312"/>
          <w:sz w:val="32"/>
          <w:szCs w:val="32"/>
        </w:rPr>
      </w:pPr>
    </w:p>
    <w:p w14:paraId="7E2C8186">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pacing w:val="0"/>
          <w:kern w:val="2"/>
          <w:sz w:val="44"/>
          <w:szCs w:val="21"/>
          <w:lang w:eastAsia="zh-CN"/>
        </w:rPr>
      </w:pPr>
    </w:p>
    <w:p w14:paraId="55B0EE1C">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pacing w:val="0"/>
          <w:kern w:val="2"/>
          <w:sz w:val="44"/>
          <w:szCs w:val="21"/>
          <w:lang w:eastAsia="zh-CN"/>
        </w:rPr>
      </w:pPr>
      <w:r>
        <w:rPr>
          <w:rFonts w:hint="default" w:ascii="Times New Roman" w:hAnsi="Times New Roman" w:eastAsia="方正小标宋简体" w:cs="Times New Roman"/>
          <w:color w:val="000000"/>
          <w:spacing w:val="0"/>
          <w:kern w:val="2"/>
          <w:sz w:val="44"/>
          <w:szCs w:val="21"/>
          <w:lang w:eastAsia="zh-CN"/>
        </w:rPr>
        <w:br w:type="page"/>
      </w:r>
    </w:p>
    <w:p w14:paraId="5906F99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pacing w:val="0"/>
          <w:kern w:val="2"/>
          <w:sz w:val="44"/>
          <w:szCs w:val="21"/>
          <w:lang w:eastAsia="zh-CN"/>
        </w:rPr>
      </w:pPr>
      <w:r>
        <w:rPr>
          <w:rFonts w:hint="eastAsia" w:ascii="方正小标宋_GBK" w:hAnsi="方正小标宋_GBK" w:eastAsia="方正小标宋_GBK" w:cs="方正小标宋_GBK"/>
          <w:color w:val="000000"/>
          <w:spacing w:val="0"/>
          <w:kern w:val="2"/>
          <w:sz w:val="44"/>
          <w:szCs w:val="21"/>
          <w:lang w:eastAsia="zh-CN"/>
        </w:rPr>
        <w:t>内蒙古自治区人民政府</w:t>
      </w:r>
    </w:p>
    <w:p w14:paraId="226B3DD2">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pacing w:val="0"/>
          <w:kern w:val="2"/>
          <w:sz w:val="44"/>
          <w:szCs w:val="32"/>
        </w:rPr>
      </w:pPr>
      <w:r>
        <w:rPr>
          <w:rFonts w:hint="eastAsia" w:ascii="方正小标宋_GBK" w:hAnsi="方正小标宋_GBK" w:eastAsia="方正小标宋_GBK" w:cs="方正小标宋_GBK"/>
          <w:color w:val="000000"/>
          <w:spacing w:val="0"/>
          <w:kern w:val="2"/>
          <w:sz w:val="44"/>
          <w:szCs w:val="21"/>
        </w:rPr>
        <w:t>关于修改和废止部分政府规章的决定</w:t>
      </w:r>
    </w:p>
    <w:p w14:paraId="631D8DF6">
      <w:pPr>
        <w:pStyle w:val="2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14:paraId="73429268">
      <w:pPr>
        <w:pStyle w:val="23"/>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为了维护社会主义法制统一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经自治区人民政府</w:t>
      </w:r>
      <w:r>
        <w:rPr>
          <w:rFonts w:hint="eastAsia" w:ascii="仿宋" w:hAnsi="仿宋" w:eastAsia="仿宋" w:cs="仿宋"/>
          <w:sz w:val="32"/>
        </w:rPr>
        <w:t>202</w:t>
      </w:r>
      <w:r>
        <w:rPr>
          <w:rFonts w:hint="eastAsia" w:ascii="仿宋" w:hAnsi="仿宋" w:eastAsia="仿宋" w:cs="仿宋"/>
          <w:sz w:val="32"/>
          <w:lang w:val="en"/>
        </w:rPr>
        <w:t>4</w:t>
      </w:r>
      <w:r>
        <w:rPr>
          <w:rFonts w:hint="eastAsia" w:ascii="仿宋" w:hAnsi="仿宋" w:eastAsia="仿宋" w:cs="仿宋"/>
          <w:sz w:val="32"/>
        </w:rPr>
        <w:t>年</w:t>
      </w:r>
      <w:r>
        <w:rPr>
          <w:rFonts w:hint="eastAsia" w:ascii="仿宋" w:hAnsi="仿宋" w:eastAsia="仿宋" w:cs="仿宋"/>
          <w:sz w:val="32"/>
          <w:lang w:val="en"/>
        </w:rPr>
        <w:t>4</w:t>
      </w:r>
      <w:r>
        <w:rPr>
          <w:rFonts w:hint="eastAsia" w:ascii="仿宋" w:hAnsi="仿宋" w:eastAsia="仿宋" w:cs="仿宋"/>
          <w:spacing w:val="-6"/>
          <w:sz w:val="32"/>
        </w:rPr>
        <w:t>月</w:t>
      </w:r>
      <w:r>
        <w:rPr>
          <w:rFonts w:hint="eastAsia" w:ascii="仿宋" w:hAnsi="仿宋" w:eastAsia="仿宋" w:cs="仿宋"/>
          <w:spacing w:val="-6"/>
          <w:sz w:val="32"/>
          <w:lang w:val="en-US" w:eastAsia="zh-CN"/>
        </w:rPr>
        <w:t>2</w:t>
      </w:r>
      <w:r>
        <w:rPr>
          <w:rFonts w:hint="eastAsia" w:ascii="仿宋" w:hAnsi="仿宋" w:eastAsia="仿宋" w:cs="仿宋"/>
          <w:spacing w:val="-6"/>
          <w:sz w:val="32"/>
          <w:lang w:val="en" w:eastAsia="zh-CN"/>
        </w:rPr>
        <w:t>5</w:t>
      </w:r>
      <w:r>
        <w:rPr>
          <w:rFonts w:hint="eastAsia" w:ascii="仿宋" w:hAnsi="仿宋" w:eastAsia="仿宋" w:cs="仿宋"/>
          <w:spacing w:val="-6"/>
          <w:sz w:val="32"/>
        </w:rPr>
        <w:t>日第</w:t>
      </w:r>
      <w:r>
        <w:rPr>
          <w:rFonts w:hint="eastAsia" w:ascii="仿宋" w:hAnsi="仿宋" w:eastAsia="仿宋" w:cs="仿宋"/>
          <w:spacing w:val="-6"/>
          <w:sz w:val="32"/>
          <w:lang w:val="en"/>
        </w:rPr>
        <w:t>12</w:t>
      </w:r>
      <w:r>
        <w:rPr>
          <w:rFonts w:hint="eastAsia" w:ascii="仿宋" w:hAnsi="仿宋" w:eastAsia="仿宋" w:cs="仿宋"/>
          <w:spacing w:val="-6"/>
          <w:sz w:val="32"/>
        </w:rPr>
        <w:t>次常务会议审议通过</w:t>
      </w:r>
      <w:r>
        <w:rPr>
          <w:rFonts w:hint="eastAsia" w:ascii="仿宋" w:hAnsi="仿宋" w:eastAsia="仿宋" w:cs="仿宋"/>
          <w:color w:val="auto"/>
          <w:spacing w:val="-6"/>
          <w:sz w:val="32"/>
          <w:szCs w:val="32"/>
        </w:rPr>
        <w:t>，决定</w:t>
      </w:r>
      <w:r>
        <w:rPr>
          <w:rFonts w:hint="eastAsia" w:ascii="仿宋" w:hAnsi="仿宋" w:eastAsia="仿宋" w:cs="仿宋"/>
          <w:color w:val="auto"/>
          <w:spacing w:val="-6"/>
          <w:sz w:val="32"/>
          <w:szCs w:val="32"/>
          <w:lang w:eastAsia="zh-CN"/>
        </w:rPr>
        <w:t>修改和</w:t>
      </w:r>
      <w:r>
        <w:rPr>
          <w:rFonts w:hint="eastAsia" w:ascii="仿宋" w:hAnsi="仿宋" w:eastAsia="仿宋" w:cs="仿宋"/>
          <w:color w:val="auto"/>
          <w:spacing w:val="-6"/>
          <w:sz w:val="32"/>
          <w:szCs w:val="32"/>
        </w:rPr>
        <w:t>废止以下政府规章：</w:t>
      </w:r>
    </w:p>
    <w:p w14:paraId="69FAF740">
      <w:pPr>
        <w:pStyle w:val="48"/>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5"/>
        <w:jc w:val="both"/>
        <w:textAlignment w:val="auto"/>
        <w:outlineLvl w:val="9"/>
        <w:rPr>
          <w:rFonts w:hint="eastAsia" w:ascii="仿宋" w:hAnsi="仿宋" w:eastAsia="仿宋" w:cs="仿宋"/>
          <w:color w:val="000000"/>
          <w:spacing w:val="0"/>
          <w:kern w:val="2"/>
          <w:sz w:val="32"/>
          <w:szCs w:val="32"/>
          <w:lang w:val="en-US" w:eastAsia="zh-CN"/>
        </w:rPr>
      </w:pPr>
      <w:r>
        <w:rPr>
          <w:rFonts w:hint="eastAsia" w:ascii="仿宋" w:hAnsi="仿宋" w:eastAsia="仿宋" w:cs="仿宋"/>
          <w:color w:val="000000"/>
          <w:spacing w:val="0"/>
          <w:kern w:val="2"/>
          <w:sz w:val="32"/>
          <w:szCs w:val="32"/>
          <w:lang w:val="en-US" w:eastAsia="zh-CN"/>
        </w:rPr>
        <w:t>一、对</w:t>
      </w:r>
      <w:r>
        <w:rPr>
          <w:rFonts w:hint="eastAsia" w:ascii="仿宋" w:hAnsi="仿宋" w:eastAsia="仿宋" w:cs="仿宋"/>
          <w:color w:val="auto"/>
          <w:spacing w:val="0"/>
          <w:kern w:val="2"/>
          <w:sz w:val="32"/>
          <w:szCs w:val="32"/>
          <w:lang w:val="en-US" w:eastAsia="zh-CN"/>
        </w:rPr>
        <w:t>2</w:t>
      </w:r>
      <w:r>
        <w:rPr>
          <w:rFonts w:hint="eastAsia" w:ascii="仿宋" w:hAnsi="仿宋" w:eastAsia="仿宋" w:cs="仿宋"/>
          <w:color w:val="000000"/>
          <w:spacing w:val="0"/>
          <w:kern w:val="2"/>
          <w:sz w:val="32"/>
          <w:szCs w:val="32"/>
          <w:lang w:val="en-US" w:eastAsia="zh-CN"/>
        </w:rPr>
        <w:t>部政府规章的部分条款予以修改。（附件1）</w:t>
      </w:r>
    </w:p>
    <w:p w14:paraId="3401572E">
      <w:pPr>
        <w:pStyle w:val="48"/>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5"/>
        <w:jc w:val="both"/>
        <w:textAlignment w:val="auto"/>
        <w:outlineLvl w:val="9"/>
        <w:rPr>
          <w:rFonts w:hint="eastAsia" w:ascii="仿宋" w:hAnsi="仿宋" w:eastAsia="仿宋" w:cs="仿宋"/>
          <w:color w:val="000000"/>
          <w:spacing w:val="0"/>
          <w:kern w:val="2"/>
          <w:sz w:val="32"/>
          <w:szCs w:val="32"/>
          <w:lang w:val="en-US" w:eastAsia="zh-CN"/>
        </w:rPr>
      </w:pPr>
      <w:r>
        <w:rPr>
          <w:rFonts w:hint="eastAsia" w:ascii="仿宋" w:hAnsi="仿宋" w:eastAsia="仿宋" w:cs="仿宋"/>
          <w:color w:val="000000"/>
          <w:spacing w:val="0"/>
          <w:kern w:val="2"/>
          <w:sz w:val="32"/>
          <w:szCs w:val="32"/>
          <w:lang w:val="en-US" w:eastAsia="zh-CN"/>
        </w:rPr>
        <w:t>二、对2部政府规章予以废止。（附件2）</w:t>
      </w:r>
    </w:p>
    <w:p w14:paraId="268800DA">
      <w:pPr>
        <w:pStyle w:val="48"/>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5"/>
        <w:jc w:val="both"/>
        <w:textAlignment w:val="auto"/>
        <w:outlineLvl w:val="9"/>
        <w:rPr>
          <w:rFonts w:hint="eastAsia" w:ascii="仿宋" w:hAnsi="仿宋" w:eastAsia="仿宋" w:cs="仿宋"/>
          <w:color w:val="000000"/>
          <w:spacing w:val="0"/>
          <w:kern w:val="2"/>
          <w:sz w:val="32"/>
          <w:szCs w:val="32"/>
          <w:lang w:val="en-US" w:eastAsia="zh-CN"/>
        </w:rPr>
      </w:pPr>
      <w:r>
        <w:rPr>
          <w:rFonts w:hint="eastAsia" w:ascii="仿宋" w:hAnsi="仿宋" w:eastAsia="仿宋" w:cs="仿宋"/>
          <w:color w:val="000000"/>
          <w:spacing w:val="0"/>
          <w:kern w:val="2"/>
          <w:sz w:val="32"/>
          <w:szCs w:val="32"/>
          <w:lang w:val="en-US" w:eastAsia="zh-CN"/>
        </w:rPr>
        <w:t>本决定自公布之日起施行。</w:t>
      </w:r>
    </w:p>
    <w:p w14:paraId="2A349BF5">
      <w:pPr>
        <w:pStyle w:val="48"/>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5"/>
        <w:jc w:val="both"/>
        <w:textAlignment w:val="auto"/>
        <w:outlineLvl w:val="9"/>
        <w:rPr>
          <w:rFonts w:hint="eastAsia" w:ascii="仿宋" w:hAnsi="仿宋" w:eastAsia="仿宋" w:cs="仿宋"/>
          <w:color w:val="000000"/>
          <w:spacing w:val="0"/>
          <w:kern w:val="2"/>
          <w:sz w:val="32"/>
          <w:szCs w:val="32"/>
        </w:rPr>
      </w:pPr>
      <w:r>
        <w:rPr>
          <w:rFonts w:hint="eastAsia" w:ascii="仿宋" w:hAnsi="仿宋" w:eastAsia="仿宋" w:cs="仿宋"/>
          <w:color w:val="auto"/>
          <w:spacing w:val="0"/>
          <w:kern w:val="2"/>
          <w:sz w:val="32"/>
          <w:szCs w:val="32"/>
          <w:lang w:val="en-US" w:eastAsia="zh-CN"/>
        </w:rPr>
        <w:t>《内蒙古自治区人民政府拟定地方性法规草案和制定政府规章程序规定》、《内蒙古自治区行政事业性国有资产管理办法》</w:t>
      </w:r>
      <w:r>
        <w:rPr>
          <w:rFonts w:hint="eastAsia" w:ascii="仿宋" w:hAnsi="仿宋" w:eastAsia="仿宋" w:cs="仿宋"/>
          <w:color w:val="000000"/>
          <w:spacing w:val="0"/>
          <w:kern w:val="2"/>
          <w:sz w:val="32"/>
          <w:szCs w:val="32"/>
        </w:rPr>
        <w:t>根据本决定作相应修改，重新公布。</w:t>
      </w:r>
    </w:p>
    <w:p w14:paraId="7AF13B66">
      <w:pPr>
        <w:pStyle w:val="48"/>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jc w:val="both"/>
        <w:textAlignment w:val="auto"/>
        <w:outlineLvl w:val="9"/>
        <w:rPr>
          <w:rFonts w:hint="eastAsia" w:ascii="仿宋" w:hAnsi="仿宋" w:eastAsia="仿宋" w:cs="仿宋"/>
          <w:color w:val="000000"/>
          <w:spacing w:val="0"/>
          <w:kern w:val="2"/>
          <w:sz w:val="32"/>
          <w:szCs w:val="32"/>
        </w:rPr>
      </w:pPr>
    </w:p>
    <w:p w14:paraId="4BEF7051">
      <w:pPr>
        <w:pStyle w:val="48"/>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 w:hAnsi="仿宋" w:eastAsia="仿宋" w:cs="仿宋"/>
          <w:color w:val="000000"/>
          <w:spacing w:val="0"/>
          <w:kern w:val="2"/>
          <w:sz w:val="32"/>
          <w:szCs w:val="32"/>
        </w:rPr>
      </w:pPr>
      <w:r>
        <w:rPr>
          <w:rFonts w:hint="eastAsia" w:ascii="仿宋" w:hAnsi="仿宋" w:eastAsia="仿宋" w:cs="仿宋"/>
          <w:color w:val="000000"/>
          <w:spacing w:val="0"/>
          <w:kern w:val="2"/>
          <w:sz w:val="32"/>
          <w:szCs w:val="32"/>
        </w:rPr>
        <w:t>附件：1.自治区人民政府决定修改的政府规章</w:t>
      </w:r>
    </w:p>
    <w:p w14:paraId="3D37BC0A">
      <w:pPr>
        <w:pStyle w:val="48"/>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1600" w:firstLineChars="500"/>
        <w:jc w:val="both"/>
        <w:textAlignment w:val="auto"/>
        <w:outlineLvl w:val="9"/>
        <w:rPr>
          <w:rFonts w:hint="eastAsia" w:ascii="仿宋" w:hAnsi="仿宋" w:eastAsia="仿宋" w:cs="仿宋"/>
          <w:color w:val="000000"/>
          <w:spacing w:val="0"/>
          <w:kern w:val="2"/>
          <w:sz w:val="32"/>
          <w:szCs w:val="32"/>
        </w:rPr>
      </w:pPr>
      <w:r>
        <w:rPr>
          <w:rFonts w:hint="eastAsia" w:ascii="仿宋" w:hAnsi="仿宋" w:eastAsia="仿宋" w:cs="仿宋"/>
          <w:color w:val="000000"/>
          <w:spacing w:val="0"/>
          <w:kern w:val="2"/>
          <w:sz w:val="32"/>
          <w:szCs w:val="32"/>
        </w:rPr>
        <w:t>2.自治区人民政府决定废止的政府规章</w:t>
      </w:r>
    </w:p>
    <w:p w14:paraId="1A713AD1">
      <w:pPr>
        <w:pStyle w:val="48"/>
        <w:keepNext w:val="0"/>
        <w:keepLines w:val="0"/>
        <w:pageBreakBefore w:val="0"/>
        <w:widowControl w:val="0"/>
        <w:kinsoku/>
        <w:overflowPunct/>
        <w:topLinePunct w:val="0"/>
        <w:autoSpaceDE/>
        <w:autoSpaceDN/>
        <w:bidi w:val="0"/>
        <w:spacing w:before="0" w:beforeLines="0" w:after="0" w:afterLines="0" w:line="580" w:lineRule="exact"/>
        <w:ind w:left="0" w:leftChars="0" w:right="0" w:rightChars="0"/>
        <w:jc w:val="both"/>
        <w:rPr>
          <w:rFonts w:hint="default" w:ascii="Times New Roman" w:hAnsi="Times New Roman" w:eastAsia="仿宋_GB2312" w:cs="Times New Roman"/>
          <w:color w:val="000000"/>
          <w:spacing w:val="0"/>
          <w:kern w:val="2"/>
          <w:sz w:val="32"/>
          <w:szCs w:val="32"/>
        </w:rPr>
      </w:pPr>
    </w:p>
    <w:p w14:paraId="444AB960">
      <w:pPr>
        <w:pStyle w:val="48"/>
        <w:keepNext w:val="0"/>
        <w:keepLines w:val="0"/>
        <w:pageBreakBefore w:val="0"/>
        <w:widowControl w:val="0"/>
        <w:kinsoku/>
        <w:overflowPunct/>
        <w:topLinePunct w:val="0"/>
        <w:autoSpaceDE/>
        <w:autoSpaceDN/>
        <w:bidi w:val="0"/>
        <w:spacing w:before="0" w:beforeLines="0" w:after="0" w:afterLines="0" w:line="580" w:lineRule="exact"/>
        <w:ind w:left="0" w:leftChars="0" w:right="0" w:rightChars="0"/>
        <w:jc w:val="both"/>
        <w:rPr>
          <w:rFonts w:hint="default" w:ascii="Times New Roman" w:hAnsi="Times New Roman" w:eastAsia="仿宋_GB2312" w:cs="Times New Roman"/>
          <w:color w:val="000000"/>
          <w:spacing w:val="0"/>
          <w:kern w:val="2"/>
          <w:sz w:val="32"/>
          <w:szCs w:val="32"/>
        </w:rPr>
      </w:pPr>
    </w:p>
    <w:p w14:paraId="124B10A2">
      <w:pPr>
        <w:pStyle w:val="48"/>
        <w:keepNext w:val="0"/>
        <w:keepLines w:val="0"/>
        <w:pageBreakBefore w:val="0"/>
        <w:widowControl w:val="0"/>
        <w:kinsoku/>
        <w:overflowPunct/>
        <w:topLinePunct w:val="0"/>
        <w:autoSpaceDE/>
        <w:autoSpaceDN/>
        <w:bidi w:val="0"/>
        <w:spacing w:before="0" w:beforeLines="0" w:after="0" w:afterLines="0" w:line="580" w:lineRule="exact"/>
        <w:ind w:left="0" w:leftChars="0" w:right="0" w:rightChars="0"/>
        <w:jc w:val="both"/>
        <w:rPr>
          <w:rFonts w:hint="default" w:ascii="Times New Roman" w:hAnsi="Times New Roman" w:eastAsia="仿宋_GB2312" w:cs="Times New Roman"/>
          <w:color w:val="000000"/>
          <w:spacing w:val="0"/>
          <w:kern w:val="2"/>
          <w:sz w:val="32"/>
          <w:szCs w:val="32"/>
        </w:rPr>
      </w:pPr>
    </w:p>
    <w:p w14:paraId="7D809F6B">
      <w:pPr>
        <w:pStyle w:val="48"/>
        <w:keepNext w:val="0"/>
        <w:keepLines w:val="0"/>
        <w:pageBreakBefore w:val="0"/>
        <w:widowControl w:val="0"/>
        <w:kinsoku/>
        <w:overflowPunct/>
        <w:topLinePunct w:val="0"/>
        <w:autoSpaceDE/>
        <w:autoSpaceDN/>
        <w:bidi w:val="0"/>
        <w:spacing w:before="0" w:beforeLines="0" w:after="0" w:afterLines="0" w:line="580" w:lineRule="exact"/>
        <w:ind w:left="0" w:leftChars="0" w:right="0" w:rightChars="0"/>
        <w:jc w:val="both"/>
        <w:rPr>
          <w:rFonts w:hint="default" w:ascii="Times New Roman" w:hAnsi="Times New Roman" w:eastAsia="仿宋_GB2312" w:cs="Times New Roman"/>
          <w:color w:val="000000"/>
          <w:spacing w:val="0"/>
          <w:kern w:val="2"/>
          <w:sz w:val="32"/>
          <w:szCs w:val="32"/>
        </w:rPr>
      </w:pPr>
    </w:p>
    <w:p w14:paraId="49613A21">
      <w:pPr>
        <w:pStyle w:val="48"/>
        <w:keepNext w:val="0"/>
        <w:keepLines w:val="0"/>
        <w:pageBreakBefore w:val="0"/>
        <w:widowControl w:val="0"/>
        <w:kinsoku/>
        <w:overflowPunct/>
        <w:topLinePunct w:val="0"/>
        <w:autoSpaceDE/>
        <w:autoSpaceDN/>
        <w:bidi w:val="0"/>
        <w:spacing w:before="0" w:beforeLines="0" w:after="0" w:afterLines="0" w:line="580" w:lineRule="exact"/>
        <w:ind w:left="0" w:leftChars="0" w:right="0" w:rightChars="0"/>
        <w:jc w:val="both"/>
        <w:rPr>
          <w:rFonts w:hint="default" w:ascii="Times New Roman" w:hAnsi="Times New Roman" w:eastAsia="仿宋_GB2312" w:cs="Times New Roman"/>
          <w:color w:val="000000"/>
          <w:spacing w:val="0"/>
          <w:kern w:val="2"/>
          <w:sz w:val="32"/>
          <w:szCs w:val="32"/>
        </w:rPr>
      </w:pPr>
    </w:p>
    <w:p w14:paraId="1818DADB">
      <w:pPr>
        <w:pStyle w:val="48"/>
        <w:keepNext w:val="0"/>
        <w:keepLines w:val="0"/>
        <w:pageBreakBefore w:val="0"/>
        <w:widowControl w:val="0"/>
        <w:kinsoku/>
        <w:overflowPunct/>
        <w:topLinePunct w:val="0"/>
        <w:autoSpaceDE/>
        <w:autoSpaceDN/>
        <w:bidi w:val="0"/>
        <w:spacing w:before="0" w:beforeLines="0" w:after="0" w:afterLines="0" w:line="580" w:lineRule="exact"/>
        <w:ind w:left="0" w:leftChars="0" w:right="0" w:rightChars="0"/>
        <w:jc w:val="both"/>
        <w:rPr>
          <w:rFonts w:hint="default" w:ascii="Times New Roman" w:hAnsi="Times New Roman" w:eastAsia="仿宋_GB2312" w:cs="Times New Roman"/>
          <w:color w:val="000000"/>
          <w:spacing w:val="0"/>
          <w:kern w:val="2"/>
          <w:sz w:val="32"/>
          <w:szCs w:val="32"/>
        </w:rPr>
      </w:pPr>
    </w:p>
    <w:p w14:paraId="6F6C70FC">
      <w:pPr>
        <w:pStyle w:val="48"/>
        <w:keepNext w:val="0"/>
        <w:keepLines w:val="0"/>
        <w:pageBreakBefore w:val="0"/>
        <w:widowControl w:val="0"/>
        <w:kinsoku/>
        <w:overflowPunct/>
        <w:topLinePunct w:val="0"/>
        <w:autoSpaceDE/>
        <w:autoSpaceDN/>
        <w:bidi w:val="0"/>
        <w:spacing w:before="0" w:beforeLines="0" w:after="0" w:afterLines="0" w:line="580" w:lineRule="exact"/>
        <w:ind w:left="0" w:leftChars="0" w:right="0" w:rightChars="0"/>
        <w:jc w:val="both"/>
        <w:rPr>
          <w:rFonts w:hint="default" w:ascii="Times New Roman" w:hAnsi="Times New Roman" w:eastAsia="仿宋_GB2312" w:cs="Times New Roman"/>
          <w:color w:val="000000"/>
          <w:spacing w:val="0"/>
          <w:kern w:val="2"/>
          <w:sz w:val="32"/>
          <w:szCs w:val="32"/>
        </w:rPr>
      </w:pPr>
    </w:p>
    <w:p w14:paraId="662AE063">
      <w:pPr>
        <w:pStyle w:val="48"/>
        <w:keepNext w:val="0"/>
        <w:keepLines w:val="0"/>
        <w:pageBreakBefore w:val="0"/>
        <w:widowControl w:val="0"/>
        <w:kinsoku/>
        <w:overflowPunct/>
        <w:topLinePunct w:val="0"/>
        <w:autoSpaceDE/>
        <w:autoSpaceDN/>
        <w:bidi w:val="0"/>
        <w:spacing w:before="0" w:beforeLines="0" w:after="0" w:afterLines="0" w:line="580" w:lineRule="exact"/>
        <w:ind w:left="0" w:leftChars="0" w:right="0" w:rightChars="0"/>
        <w:jc w:val="both"/>
        <w:rPr>
          <w:rFonts w:hint="default" w:ascii="Times New Roman" w:hAnsi="Times New Roman" w:eastAsia="黑体" w:cs="Times New Roman"/>
          <w:color w:val="000000"/>
          <w:spacing w:val="0"/>
          <w:kern w:val="2"/>
          <w:sz w:val="32"/>
          <w:szCs w:val="32"/>
          <w:lang w:eastAsia="zh-CN"/>
        </w:rPr>
      </w:pPr>
    </w:p>
    <w:p w14:paraId="59968D82">
      <w:pPr>
        <w:pStyle w:val="48"/>
        <w:keepNext w:val="0"/>
        <w:keepLines w:val="0"/>
        <w:pageBreakBefore w:val="0"/>
        <w:widowControl w:val="0"/>
        <w:kinsoku/>
        <w:overflowPunct/>
        <w:topLinePunct w:val="0"/>
        <w:autoSpaceDE/>
        <w:autoSpaceDN/>
        <w:bidi w:val="0"/>
        <w:spacing w:before="0" w:beforeLines="0" w:after="0" w:afterLines="0" w:line="580" w:lineRule="exact"/>
        <w:ind w:left="0" w:leftChars="0" w:right="0" w:rightChars="0"/>
        <w:jc w:val="both"/>
        <w:rPr>
          <w:rFonts w:hint="default" w:ascii="Times New Roman" w:hAnsi="Times New Roman" w:eastAsia="黑体" w:cs="Times New Roman"/>
          <w:color w:val="000000"/>
          <w:spacing w:val="0"/>
          <w:kern w:val="2"/>
          <w:sz w:val="32"/>
          <w:szCs w:val="32"/>
          <w:lang w:val="en" w:eastAsia="zh-CN"/>
        </w:rPr>
      </w:pPr>
      <w:r>
        <w:rPr>
          <w:rFonts w:hint="default" w:ascii="Times New Roman" w:hAnsi="Times New Roman" w:eastAsia="黑体" w:cs="Times New Roman"/>
          <w:color w:val="000000"/>
          <w:spacing w:val="0"/>
          <w:kern w:val="2"/>
          <w:sz w:val="32"/>
          <w:szCs w:val="32"/>
          <w:lang w:eastAsia="zh-CN"/>
        </w:rPr>
        <w:t>附</w:t>
      </w:r>
      <w:r>
        <w:rPr>
          <w:rFonts w:hint="eastAsia" w:ascii="黑体" w:hAnsi="黑体" w:eastAsia="黑体" w:cs="黑体"/>
          <w:color w:val="000000"/>
          <w:spacing w:val="0"/>
          <w:kern w:val="2"/>
          <w:sz w:val="32"/>
          <w:szCs w:val="32"/>
          <w:lang w:eastAsia="zh-CN"/>
        </w:rPr>
        <w:t>件</w:t>
      </w:r>
      <w:r>
        <w:rPr>
          <w:rFonts w:hint="eastAsia" w:ascii="黑体" w:hAnsi="黑体" w:eastAsia="黑体" w:cs="黑体"/>
          <w:color w:val="000000"/>
          <w:spacing w:val="0"/>
          <w:kern w:val="2"/>
          <w:sz w:val="32"/>
          <w:szCs w:val="32"/>
          <w:lang w:val="en" w:eastAsia="zh-CN"/>
        </w:rPr>
        <w:t>1</w:t>
      </w:r>
    </w:p>
    <w:p w14:paraId="1E247263">
      <w:pPr>
        <w:pStyle w:val="48"/>
        <w:keepNext w:val="0"/>
        <w:keepLines w:val="0"/>
        <w:pageBreakBefore w:val="0"/>
        <w:widowControl w:val="0"/>
        <w:kinsoku/>
        <w:overflowPunct/>
        <w:topLinePunct w:val="0"/>
        <w:autoSpaceDE/>
        <w:autoSpaceDN/>
        <w:bidi w:val="0"/>
        <w:spacing w:before="0" w:beforeLines="0" w:after="0" w:afterLines="0" w:line="580" w:lineRule="exact"/>
        <w:ind w:left="0" w:leftChars="0" w:right="0" w:rightChars="0"/>
        <w:jc w:val="both"/>
        <w:rPr>
          <w:rFonts w:hint="default" w:ascii="Times New Roman" w:hAnsi="Times New Roman" w:eastAsia="方正小标宋简体" w:cs="Times New Roman"/>
          <w:color w:val="000000"/>
          <w:spacing w:val="0"/>
          <w:kern w:val="2"/>
          <w:sz w:val="32"/>
          <w:szCs w:val="36"/>
        </w:rPr>
      </w:pPr>
    </w:p>
    <w:p w14:paraId="481D408C">
      <w:pPr>
        <w:pStyle w:val="48"/>
        <w:keepNext w:val="0"/>
        <w:keepLines w:val="0"/>
        <w:pageBreakBefore w:val="0"/>
        <w:widowControl w:val="0"/>
        <w:kinsoku/>
        <w:overflowPunct/>
        <w:topLinePunct w:val="0"/>
        <w:autoSpaceDE/>
        <w:autoSpaceDN/>
        <w:bidi w:val="0"/>
        <w:spacing w:before="0" w:beforeLines="0" w:after="0" w:afterLines="0" w:line="580" w:lineRule="exact"/>
        <w:ind w:left="0" w:leftChars="0" w:right="0" w:rightChars="0" w:firstLine="0" w:firstLineChars="0"/>
        <w:jc w:val="center"/>
        <w:rPr>
          <w:rFonts w:hint="default" w:ascii="Times New Roman" w:hAnsi="Times New Roman" w:eastAsia="仿宋_GB2312" w:cs="Times New Roman"/>
          <w:color w:val="000000"/>
          <w:spacing w:val="0"/>
          <w:kern w:val="2"/>
          <w:sz w:val="44"/>
          <w:szCs w:val="36"/>
          <w:lang w:val="en-US" w:eastAsia="zh-CN"/>
        </w:rPr>
      </w:pPr>
      <w:r>
        <w:rPr>
          <w:rFonts w:hint="default" w:ascii="Times New Roman" w:hAnsi="Times New Roman" w:eastAsia="方正小标宋简体" w:cs="Times New Roman"/>
          <w:color w:val="000000"/>
          <w:spacing w:val="0"/>
          <w:kern w:val="2"/>
          <w:sz w:val="44"/>
          <w:szCs w:val="36"/>
        </w:rPr>
        <w:t>自治区人民政府决定修改的政府规章</w:t>
      </w:r>
    </w:p>
    <w:p w14:paraId="07421AFE">
      <w:pPr>
        <w:pStyle w:val="9"/>
        <w:keepNext w:val="0"/>
        <w:keepLines w:val="0"/>
        <w:pageBreakBefore w:val="0"/>
        <w:widowControl w:val="0"/>
        <w:kinsoku/>
        <w:overflowPunct/>
        <w:topLinePunct w:val="0"/>
        <w:autoSpaceDE/>
        <w:autoSpaceDN/>
        <w:bidi w:val="0"/>
        <w:spacing w:before="0" w:beforeLines="0" w:beforeAutospacing="0" w:after="0" w:afterLines="0" w:afterAutospacing="0" w:line="580" w:lineRule="exact"/>
        <w:ind w:left="0" w:leftChars="0" w:right="0" w:rightChars="0" w:firstLine="0" w:firstLineChars="0"/>
        <w:jc w:val="center"/>
        <w:rPr>
          <w:rFonts w:hint="default" w:ascii="Times New Roman" w:hAnsi="Times New Roman" w:eastAsia="宋体" w:cs="Times New Roman"/>
          <w:spacing w:val="0"/>
          <w:kern w:val="2"/>
          <w:sz w:val="21"/>
          <w:szCs w:val="21"/>
          <w:lang w:val="en-US" w:eastAsia="zh-CN"/>
        </w:rPr>
      </w:pPr>
    </w:p>
    <w:p w14:paraId="159E0970">
      <w:pPr>
        <w:pStyle w:val="9"/>
        <w:keepNext w:val="0"/>
        <w:keepLines w:val="0"/>
        <w:pageBreakBefore w:val="0"/>
        <w:widowControl w:val="0"/>
        <w:kinsoku/>
        <w:overflowPunct/>
        <w:topLinePunct/>
        <w:autoSpaceDE/>
        <w:autoSpaceDN/>
        <w:bidi w:val="0"/>
        <w:spacing w:before="0" w:beforeLines="0" w:beforeAutospacing="0" w:after="0" w:afterLines="0" w:afterAutospacing="0" w:line="580" w:lineRule="exact"/>
        <w:ind w:left="0" w:leftChars="0" w:right="0" w:rightChars="0" w:firstLine="640" w:firstLineChars="200"/>
        <w:jc w:val="both"/>
        <w:rPr>
          <w:rFonts w:hint="eastAsia" w:ascii="仿宋" w:hAnsi="仿宋" w:eastAsia="仿宋" w:cs="仿宋"/>
          <w:color w:val="auto"/>
          <w:spacing w:val="0"/>
          <w:kern w:val="2"/>
          <w:sz w:val="32"/>
          <w:szCs w:val="32"/>
          <w:lang w:val="en-US" w:eastAsia="zh-CN"/>
        </w:rPr>
      </w:pPr>
      <w:r>
        <w:rPr>
          <w:rFonts w:hint="eastAsia" w:ascii="仿宋" w:hAnsi="仿宋" w:eastAsia="仿宋" w:cs="仿宋"/>
          <w:spacing w:val="0"/>
          <w:kern w:val="2"/>
          <w:sz w:val="32"/>
          <w:szCs w:val="32"/>
          <w:lang w:val="en-US" w:eastAsia="zh-CN"/>
        </w:rPr>
        <w:t>一、</w:t>
      </w:r>
      <w:r>
        <w:rPr>
          <w:rFonts w:hint="eastAsia" w:ascii="仿宋" w:hAnsi="仿宋" w:eastAsia="仿宋" w:cs="仿宋"/>
          <w:color w:val="auto"/>
          <w:spacing w:val="0"/>
          <w:kern w:val="2"/>
          <w:sz w:val="32"/>
          <w:szCs w:val="32"/>
          <w:lang w:val="en-US" w:eastAsia="zh-CN"/>
        </w:rPr>
        <w:t>内蒙古自治区人民政府拟定地方性法规草案和制定政府规章程序规定</w:t>
      </w:r>
    </w:p>
    <w:p w14:paraId="306D415D">
      <w:pPr>
        <w:pStyle w:val="23"/>
        <w:keepNext w:val="0"/>
        <w:keepLines w:val="0"/>
        <w:pageBreakBefore w:val="0"/>
        <w:widowControl w:val="0"/>
        <w:kinsoku/>
        <w:wordWrap w:val="0"/>
        <w:overflowPunct/>
        <w:topLinePunct/>
        <w:autoSpaceDE/>
        <w:autoSpaceDN/>
        <w:bidi w:val="0"/>
        <w:spacing w:before="0" w:beforeLines="0" w:beforeAutospacing="0" w:after="0" w:afterLines="0" w:afterAutospacing="0" w:line="580" w:lineRule="exact"/>
        <w:ind w:left="0" w:leftChars="0" w:right="0" w:rightChars="0" w:firstLine="640" w:firstLineChars="200"/>
        <w:jc w:val="both"/>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将第三条改为第八条。将第四条改为第三条，修改为：“拟定地方性法规草案和制定政府规章应当坚持中国共产党的领导，以铸牢中华民族共同体意识为工作主线，完整、准确、全面贯彻新发展理念，遵循立法法确定的立法原则，符合宪法、法律、行政法规和其他上位法的规定，弘扬社会主义核心价值观，立足自治区实际，增强针对性和可执行性，坚持和发展全过程人民民主，保障人民通过多种途径参与立法活动。”</w:t>
      </w:r>
    </w:p>
    <w:p w14:paraId="1FCD0E3C">
      <w:pPr>
        <w:pStyle w:val="23"/>
        <w:keepNext w:val="0"/>
        <w:keepLines w:val="0"/>
        <w:pageBreakBefore w:val="0"/>
        <w:widowControl w:val="0"/>
        <w:kinsoku/>
        <w:wordWrap w:val="0"/>
        <w:overflowPunct/>
        <w:topLinePunct/>
        <w:autoSpaceDE/>
        <w:autoSpaceDN/>
        <w:bidi w:val="0"/>
        <w:spacing w:before="0" w:beforeLines="0" w:beforeAutospacing="0" w:after="0" w:afterLines="0" w:afterAutospacing="0" w:line="580" w:lineRule="exact"/>
        <w:ind w:left="0" w:leftChars="0" w:right="0" w:rightChars="0" w:firstLine="640" w:firstLineChars="200"/>
        <w:jc w:val="both"/>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新增一条，作为第九条：“鼓励和支持社会公众有序参与地方性法规和政府规章项目征集、公开征集意见、听证、咨询论证、评估等立法活动，提出意见和建议。自治区人民政府司法行政部门根据实际需要设立基层立法联系点，听取社会公众和有关方面对立法工作的意见和建议。”</w:t>
      </w:r>
    </w:p>
    <w:p w14:paraId="0D5C8D22">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jc w:val="both"/>
        <w:textAlignment w:val="auto"/>
        <w:rPr>
          <w:rFonts w:hint="eastAsia" w:ascii="仿宋" w:hAnsi="仿宋" w:eastAsia="仿宋" w:cs="仿宋"/>
          <w:spacing w:val="0"/>
          <w:kern w:val="2"/>
          <w:sz w:val="32"/>
          <w:szCs w:val="32"/>
          <w:lang w:val="en-US" w:eastAsia="zh-CN"/>
        </w:rPr>
      </w:pPr>
      <w:r>
        <w:rPr>
          <w:rFonts w:hint="eastAsia" w:ascii="仿宋" w:hAnsi="仿宋" w:eastAsia="仿宋" w:cs="仿宋"/>
          <w:spacing w:val="0"/>
          <w:kern w:val="2"/>
          <w:sz w:val="32"/>
          <w:szCs w:val="32"/>
          <w:lang w:val="en-US" w:eastAsia="zh-CN" w:bidi="ar-SA"/>
        </w:rPr>
        <w:t>将第九条改为第十条，修改为：“</w:t>
      </w:r>
      <w:r>
        <w:rPr>
          <w:rFonts w:hint="eastAsia" w:ascii="仿宋" w:hAnsi="仿宋" w:eastAsia="仿宋" w:cs="仿宋"/>
          <w:spacing w:val="0"/>
          <w:kern w:val="2"/>
          <w:sz w:val="32"/>
          <w:szCs w:val="32"/>
        </w:rPr>
        <w:t>自治区人民政府提出地方性法规立法规划和</w:t>
      </w:r>
      <w:r>
        <w:rPr>
          <w:rFonts w:hint="eastAsia" w:ascii="仿宋" w:hAnsi="仿宋" w:eastAsia="仿宋" w:cs="仿宋"/>
          <w:color w:val="auto"/>
          <w:spacing w:val="0"/>
          <w:kern w:val="2"/>
          <w:sz w:val="32"/>
          <w:szCs w:val="32"/>
          <w:highlight w:val="none"/>
          <w:lang w:val="en-US" w:eastAsia="zh-CN" w:bidi="ar-SA"/>
        </w:rPr>
        <w:t>立法计划</w:t>
      </w:r>
      <w:r>
        <w:rPr>
          <w:rFonts w:hint="eastAsia" w:ascii="仿宋" w:hAnsi="仿宋" w:eastAsia="仿宋" w:cs="仿宋"/>
          <w:spacing w:val="0"/>
          <w:kern w:val="2"/>
          <w:sz w:val="32"/>
          <w:szCs w:val="32"/>
        </w:rPr>
        <w:t>建议，制定政府规章</w:t>
      </w:r>
      <w:r>
        <w:rPr>
          <w:rFonts w:hint="eastAsia" w:ascii="仿宋" w:hAnsi="仿宋" w:eastAsia="仿宋" w:cs="仿宋"/>
          <w:spacing w:val="0"/>
          <w:kern w:val="2"/>
          <w:sz w:val="32"/>
          <w:szCs w:val="32"/>
          <w:lang w:val="en-US" w:eastAsia="zh-CN"/>
        </w:rPr>
        <w:t>立法计划</w:t>
      </w:r>
      <w:r>
        <w:rPr>
          <w:rFonts w:hint="eastAsia" w:ascii="仿宋" w:hAnsi="仿宋" w:eastAsia="仿宋" w:cs="仿宋"/>
          <w:spacing w:val="0"/>
          <w:kern w:val="2"/>
          <w:sz w:val="32"/>
          <w:szCs w:val="32"/>
        </w:rPr>
        <w:t>,应当</w:t>
      </w:r>
      <w:r>
        <w:rPr>
          <w:rFonts w:hint="eastAsia" w:ascii="仿宋" w:hAnsi="仿宋" w:eastAsia="仿宋" w:cs="仿宋"/>
          <w:color w:val="auto"/>
          <w:spacing w:val="0"/>
          <w:kern w:val="2"/>
          <w:sz w:val="32"/>
          <w:szCs w:val="32"/>
          <w:lang w:val="en-US" w:eastAsia="zh-CN" w:bidi="ar-SA"/>
        </w:rPr>
        <w:t>广泛征集意见，科学论证评估，</w:t>
      </w:r>
      <w:r>
        <w:rPr>
          <w:rFonts w:hint="eastAsia" w:ascii="仿宋" w:hAnsi="仿宋" w:eastAsia="仿宋" w:cs="仿宋"/>
          <w:spacing w:val="0"/>
          <w:kern w:val="2"/>
          <w:sz w:val="32"/>
          <w:szCs w:val="32"/>
        </w:rPr>
        <w:t>根据经济社会发展</w:t>
      </w:r>
      <w:r>
        <w:rPr>
          <w:rFonts w:hint="eastAsia" w:ascii="仿宋" w:hAnsi="仿宋" w:eastAsia="仿宋" w:cs="仿宋"/>
          <w:spacing w:val="0"/>
          <w:kern w:val="2"/>
          <w:sz w:val="32"/>
          <w:szCs w:val="32"/>
          <w:lang w:eastAsia="zh-CN"/>
        </w:rPr>
        <w:t>和</w:t>
      </w:r>
      <w:r>
        <w:rPr>
          <w:rFonts w:hint="eastAsia" w:ascii="仿宋" w:hAnsi="仿宋" w:eastAsia="仿宋" w:cs="仿宋"/>
          <w:color w:val="auto"/>
          <w:spacing w:val="0"/>
          <w:kern w:val="2"/>
          <w:sz w:val="32"/>
          <w:szCs w:val="32"/>
          <w:lang w:val="en-US" w:eastAsia="zh-CN" w:bidi="ar-SA"/>
        </w:rPr>
        <w:t>民主法治建设</w:t>
      </w:r>
      <w:r>
        <w:rPr>
          <w:rFonts w:hint="eastAsia" w:ascii="仿宋" w:hAnsi="仿宋" w:eastAsia="仿宋" w:cs="仿宋"/>
          <w:spacing w:val="0"/>
          <w:kern w:val="2"/>
          <w:sz w:val="32"/>
          <w:szCs w:val="32"/>
        </w:rPr>
        <w:t>的需要，统筹兼顾，突出重点，立改废释并举</w:t>
      </w:r>
      <w:r>
        <w:rPr>
          <w:rFonts w:hint="eastAsia" w:ascii="仿宋" w:hAnsi="仿宋" w:eastAsia="仿宋" w:cs="仿宋"/>
          <w:spacing w:val="0"/>
          <w:kern w:val="2"/>
          <w:sz w:val="32"/>
          <w:szCs w:val="32"/>
          <w:lang w:val="en-US" w:eastAsia="zh-CN"/>
        </w:rPr>
        <w:t>。</w:t>
      </w:r>
    </w:p>
    <w:p w14:paraId="6EF8D326">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rPr>
        <w:t>“</w:t>
      </w:r>
      <w:r>
        <w:rPr>
          <w:rFonts w:hint="eastAsia" w:ascii="仿宋" w:hAnsi="仿宋" w:eastAsia="仿宋" w:cs="仿宋"/>
          <w:spacing w:val="0"/>
          <w:kern w:val="2"/>
          <w:sz w:val="32"/>
          <w:szCs w:val="32"/>
        </w:rPr>
        <w:t>政府规章</w:t>
      </w:r>
      <w:r>
        <w:rPr>
          <w:rFonts w:hint="eastAsia" w:ascii="仿宋" w:hAnsi="仿宋" w:eastAsia="仿宋" w:cs="仿宋"/>
          <w:spacing w:val="0"/>
          <w:kern w:val="2"/>
          <w:sz w:val="32"/>
          <w:szCs w:val="32"/>
          <w:lang w:val="en-US" w:eastAsia="zh-CN"/>
        </w:rPr>
        <w:t>立法计划</w:t>
      </w:r>
      <w:r>
        <w:rPr>
          <w:rFonts w:hint="eastAsia" w:ascii="仿宋" w:hAnsi="仿宋" w:eastAsia="仿宋" w:cs="仿宋"/>
          <w:spacing w:val="0"/>
          <w:kern w:val="2"/>
          <w:sz w:val="32"/>
          <w:szCs w:val="32"/>
        </w:rPr>
        <w:t>应当与地方性法规</w:t>
      </w:r>
      <w:r>
        <w:rPr>
          <w:rFonts w:hint="eastAsia" w:ascii="仿宋" w:hAnsi="仿宋" w:eastAsia="仿宋" w:cs="仿宋"/>
          <w:color w:val="auto"/>
          <w:spacing w:val="0"/>
          <w:kern w:val="2"/>
          <w:sz w:val="32"/>
          <w:szCs w:val="32"/>
          <w:lang w:val="en-US" w:eastAsia="zh-CN" w:bidi="ar-SA"/>
        </w:rPr>
        <w:t>立法规划</w:t>
      </w:r>
      <w:r>
        <w:rPr>
          <w:rFonts w:hint="eastAsia" w:ascii="仿宋" w:hAnsi="仿宋" w:eastAsia="仿宋" w:cs="仿宋"/>
          <w:spacing w:val="0"/>
          <w:kern w:val="2"/>
          <w:sz w:val="32"/>
          <w:lang w:eastAsia="zh-CN"/>
        </w:rPr>
        <w:t>、</w:t>
      </w:r>
      <w:r>
        <w:rPr>
          <w:rFonts w:hint="eastAsia" w:ascii="仿宋" w:hAnsi="仿宋" w:eastAsia="仿宋" w:cs="仿宋"/>
          <w:color w:val="auto"/>
          <w:spacing w:val="0"/>
          <w:kern w:val="2"/>
          <w:sz w:val="32"/>
          <w:szCs w:val="32"/>
          <w:lang w:val="en-US" w:eastAsia="zh-CN" w:bidi="ar-SA"/>
        </w:rPr>
        <w:t>立法计划</w:t>
      </w:r>
      <w:r>
        <w:rPr>
          <w:rFonts w:hint="eastAsia" w:ascii="仿宋" w:hAnsi="仿宋" w:eastAsia="仿宋" w:cs="仿宋"/>
          <w:spacing w:val="0"/>
          <w:kern w:val="2"/>
          <w:sz w:val="32"/>
          <w:szCs w:val="32"/>
        </w:rPr>
        <w:t>相衔接。</w:t>
      </w:r>
      <w:r>
        <w:rPr>
          <w:rFonts w:hint="eastAsia" w:ascii="仿宋" w:hAnsi="仿宋" w:eastAsia="仿宋" w:cs="仿宋"/>
          <w:spacing w:val="0"/>
          <w:kern w:val="2"/>
          <w:sz w:val="32"/>
          <w:szCs w:val="32"/>
          <w:lang w:val="en-US" w:eastAsia="zh-CN"/>
        </w:rPr>
        <w:t>”</w:t>
      </w:r>
    </w:p>
    <w:p w14:paraId="2BA780AE">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val="en-US" w:eastAsia="zh-CN" w:bidi="ar-SA"/>
        </w:rPr>
        <w:t>将第十二条改为第十三条，修改为：“</w:t>
      </w:r>
      <w:r>
        <w:rPr>
          <w:rFonts w:hint="eastAsia" w:ascii="仿宋" w:hAnsi="仿宋" w:eastAsia="仿宋" w:cs="仿宋"/>
          <w:spacing w:val="0"/>
          <w:kern w:val="2"/>
          <w:sz w:val="32"/>
          <w:szCs w:val="32"/>
        </w:rPr>
        <w:t>报请地方性法规、政府规章立项，应当报送下列书面材料及其电子文本</w:t>
      </w:r>
      <w:r>
        <w:rPr>
          <w:rFonts w:hint="eastAsia" w:ascii="仿宋" w:hAnsi="仿宋" w:eastAsia="仿宋" w:cs="仿宋"/>
          <w:spacing w:val="0"/>
          <w:kern w:val="2"/>
          <w:sz w:val="32"/>
          <w:szCs w:val="32"/>
          <w:lang w:val="en-US" w:eastAsia="zh-CN"/>
        </w:rPr>
        <w:t>：</w:t>
      </w:r>
    </w:p>
    <w:p w14:paraId="67B7AB93">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lang w:eastAsia="zh-CN"/>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（一）</w:t>
      </w:r>
      <w:r>
        <w:rPr>
          <w:rFonts w:hint="eastAsia" w:ascii="仿宋" w:hAnsi="仿宋" w:eastAsia="仿宋" w:cs="仿宋"/>
          <w:spacing w:val="0"/>
          <w:kern w:val="2"/>
          <w:sz w:val="32"/>
          <w:szCs w:val="32"/>
          <w:lang w:eastAsia="zh-CN"/>
        </w:rPr>
        <w:t>立项建议报告书；</w:t>
      </w:r>
    </w:p>
    <w:p w14:paraId="5829CF29">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（二）</w:t>
      </w:r>
      <w:r>
        <w:rPr>
          <w:rFonts w:hint="eastAsia" w:ascii="仿宋" w:hAnsi="仿宋" w:eastAsia="仿宋" w:cs="仿宋"/>
          <w:spacing w:val="0"/>
          <w:kern w:val="2"/>
          <w:sz w:val="32"/>
          <w:szCs w:val="32"/>
        </w:rPr>
        <w:t>草案</w:t>
      </w:r>
      <w:r>
        <w:rPr>
          <w:rFonts w:hint="eastAsia" w:ascii="仿宋" w:hAnsi="仿宋" w:eastAsia="仿宋" w:cs="仿宋"/>
          <w:spacing w:val="0"/>
          <w:kern w:val="2"/>
          <w:sz w:val="32"/>
          <w:szCs w:val="32"/>
          <w:lang w:eastAsia="zh-CN"/>
        </w:rPr>
        <w:t>和</w:t>
      </w:r>
      <w:r>
        <w:rPr>
          <w:rFonts w:hint="eastAsia" w:ascii="仿宋" w:hAnsi="仿宋" w:eastAsia="仿宋" w:cs="仿宋"/>
          <w:spacing w:val="0"/>
          <w:kern w:val="2"/>
          <w:sz w:val="32"/>
          <w:szCs w:val="32"/>
        </w:rPr>
        <w:t>起草说明；</w:t>
      </w:r>
    </w:p>
    <w:p w14:paraId="54BF2675">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（三）</w:t>
      </w:r>
      <w:r>
        <w:rPr>
          <w:rFonts w:hint="eastAsia" w:ascii="仿宋" w:hAnsi="仿宋" w:eastAsia="仿宋" w:cs="仿宋"/>
          <w:spacing w:val="0"/>
          <w:kern w:val="2"/>
          <w:sz w:val="32"/>
          <w:szCs w:val="32"/>
        </w:rPr>
        <w:t>法律、法规依据以及有关立法资料；</w:t>
      </w:r>
    </w:p>
    <w:p w14:paraId="40E8F08E">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（四）</w:t>
      </w:r>
      <w:r>
        <w:rPr>
          <w:rFonts w:hint="eastAsia" w:ascii="仿宋" w:hAnsi="仿宋" w:eastAsia="仿宋" w:cs="仿宋"/>
          <w:spacing w:val="0"/>
          <w:kern w:val="2"/>
          <w:sz w:val="32"/>
          <w:szCs w:val="32"/>
        </w:rPr>
        <w:t>征求意见汇总材料</w:t>
      </w:r>
      <w:r>
        <w:rPr>
          <w:rFonts w:hint="eastAsia" w:ascii="仿宋" w:hAnsi="仿宋" w:eastAsia="仿宋" w:cs="仿宋"/>
          <w:spacing w:val="0"/>
          <w:kern w:val="2"/>
          <w:sz w:val="32"/>
          <w:szCs w:val="32"/>
          <w:lang w:eastAsia="zh-CN"/>
        </w:rPr>
        <w:t>以及</w:t>
      </w:r>
      <w:r>
        <w:rPr>
          <w:rFonts w:hint="eastAsia" w:ascii="仿宋" w:hAnsi="仿宋" w:eastAsia="仿宋" w:cs="仿宋"/>
          <w:spacing w:val="0"/>
          <w:kern w:val="2"/>
          <w:sz w:val="32"/>
          <w:szCs w:val="32"/>
          <w:highlight w:val="none"/>
          <w:lang w:eastAsia="zh-CN"/>
        </w:rPr>
        <w:t>调研报告；</w:t>
      </w:r>
    </w:p>
    <w:p w14:paraId="41B153FE">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（五）</w:t>
      </w:r>
      <w:r>
        <w:rPr>
          <w:rFonts w:hint="eastAsia" w:ascii="仿宋" w:hAnsi="仿宋" w:eastAsia="仿宋" w:cs="仿宋"/>
          <w:spacing w:val="0"/>
          <w:kern w:val="2"/>
          <w:sz w:val="32"/>
          <w:szCs w:val="32"/>
        </w:rPr>
        <w:t>建议审议的时间。</w:t>
      </w:r>
    </w:p>
    <w:p w14:paraId="0F27935F">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rPr>
        <w:t>起草说明应当包括立法的必要性和可行性、起草过程、拟解决的主要问题、确立的主要措施以及主要分歧意见的协调处理情况。</w:t>
      </w:r>
    </w:p>
    <w:p w14:paraId="3357172F">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rPr>
        <w:t>“</w:t>
      </w:r>
      <w:r>
        <w:rPr>
          <w:rFonts w:hint="eastAsia" w:ascii="仿宋" w:hAnsi="仿宋" w:eastAsia="仿宋" w:cs="仿宋"/>
          <w:spacing w:val="0"/>
          <w:kern w:val="2"/>
          <w:sz w:val="32"/>
          <w:szCs w:val="32"/>
        </w:rPr>
        <w:t>召开论证会和听证会的，还应当报送论证、听证</w:t>
      </w:r>
      <w:r>
        <w:rPr>
          <w:rFonts w:hint="eastAsia" w:ascii="仿宋" w:hAnsi="仿宋" w:eastAsia="仿宋" w:cs="仿宋"/>
          <w:spacing w:val="0"/>
          <w:kern w:val="2"/>
          <w:sz w:val="32"/>
          <w:szCs w:val="32"/>
          <w:lang w:eastAsia="zh-CN"/>
        </w:rPr>
        <w:t>报告</w:t>
      </w:r>
      <w:r>
        <w:rPr>
          <w:rFonts w:hint="eastAsia" w:ascii="仿宋" w:hAnsi="仿宋" w:eastAsia="仿宋" w:cs="仿宋"/>
          <w:spacing w:val="0"/>
          <w:kern w:val="2"/>
          <w:sz w:val="32"/>
          <w:szCs w:val="32"/>
        </w:rPr>
        <w:t>。</w:t>
      </w:r>
      <w:r>
        <w:rPr>
          <w:rFonts w:hint="eastAsia" w:ascii="仿宋" w:hAnsi="仿宋" w:eastAsia="仿宋" w:cs="仿宋"/>
          <w:spacing w:val="0"/>
          <w:kern w:val="2"/>
          <w:sz w:val="32"/>
          <w:szCs w:val="32"/>
          <w:lang w:val="en-US" w:eastAsia="zh-CN" w:bidi="ar-SA"/>
        </w:rPr>
        <w:t>”</w:t>
      </w:r>
    </w:p>
    <w:p w14:paraId="7B49503E">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新增一条，作为第十五条：“自治区人民政府部门、盟行政公署和设区的市人民政府报送的立项申请项目和公开征集的立法计划建议项目，有下列情形之一的，不予列入地方性法规立法规划、立法计划建议项目或者政府规章立法计划：</w:t>
      </w:r>
    </w:p>
    <w:p w14:paraId="4DEB95C5">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16"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6"/>
          <w:kern w:val="2"/>
          <w:sz w:val="32"/>
          <w:szCs w:val="32"/>
          <w:lang w:eastAsia="zh-CN"/>
        </w:rPr>
        <w:t>“</w:t>
      </w:r>
      <w:r>
        <w:rPr>
          <w:rFonts w:hint="eastAsia" w:ascii="仿宋" w:hAnsi="仿宋" w:eastAsia="仿宋" w:cs="仿宋"/>
          <w:spacing w:val="-6"/>
          <w:kern w:val="2"/>
          <w:sz w:val="32"/>
          <w:szCs w:val="32"/>
          <w:lang w:val="en-US" w:eastAsia="zh-CN" w:bidi="ar-SA"/>
        </w:rPr>
        <w:t>（一）立法宗旨不符合</w:t>
      </w:r>
      <w:r>
        <w:rPr>
          <w:rFonts w:hint="eastAsia" w:ascii="仿宋" w:hAnsi="仿宋" w:eastAsia="仿宋" w:cs="仿宋"/>
          <w:spacing w:val="-6"/>
          <w:kern w:val="2"/>
          <w:sz w:val="32"/>
          <w:szCs w:val="32"/>
          <w:highlight w:val="none"/>
          <w:lang w:val="en-US" w:eastAsia="zh-CN" w:bidi="ar-SA"/>
        </w:rPr>
        <w:t>铸牢中华民族共同体意识</w:t>
      </w:r>
      <w:r>
        <w:rPr>
          <w:rFonts w:hint="eastAsia" w:ascii="仿宋" w:hAnsi="仿宋" w:eastAsia="仿宋" w:cs="仿宋"/>
          <w:spacing w:val="-6"/>
          <w:kern w:val="2"/>
          <w:sz w:val="32"/>
          <w:szCs w:val="32"/>
          <w:lang w:val="en-US" w:eastAsia="zh-CN" w:bidi="ar-SA"/>
        </w:rPr>
        <w:t>等党和国家</w:t>
      </w:r>
      <w:r>
        <w:rPr>
          <w:rFonts w:hint="eastAsia" w:ascii="仿宋" w:hAnsi="仿宋" w:eastAsia="仿宋" w:cs="仿宋"/>
          <w:spacing w:val="0"/>
          <w:kern w:val="2"/>
          <w:sz w:val="32"/>
          <w:szCs w:val="32"/>
          <w:lang w:val="en-US" w:eastAsia="zh-CN" w:bidi="ar-SA"/>
        </w:rPr>
        <w:t>基本方针、政策的；</w:t>
      </w:r>
    </w:p>
    <w:p w14:paraId="4498AE54">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16"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6"/>
          <w:kern w:val="2"/>
          <w:sz w:val="32"/>
          <w:szCs w:val="32"/>
          <w:lang w:eastAsia="zh-CN"/>
        </w:rPr>
        <w:t>“</w:t>
      </w:r>
      <w:r>
        <w:rPr>
          <w:rFonts w:hint="eastAsia" w:ascii="仿宋" w:hAnsi="仿宋" w:eastAsia="仿宋" w:cs="仿宋"/>
          <w:spacing w:val="-6"/>
          <w:kern w:val="2"/>
          <w:sz w:val="32"/>
          <w:szCs w:val="32"/>
          <w:lang w:val="en-US" w:eastAsia="zh-CN" w:bidi="ar-SA"/>
        </w:rPr>
        <w:t>（二）主要内容不符合社会主义市场经济发展和政府职能转</w:t>
      </w:r>
      <w:r>
        <w:rPr>
          <w:rFonts w:hint="eastAsia" w:ascii="仿宋" w:hAnsi="仿宋" w:eastAsia="仿宋" w:cs="仿宋"/>
          <w:spacing w:val="0"/>
          <w:kern w:val="2"/>
          <w:sz w:val="32"/>
          <w:szCs w:val="32"/>
          <w:lang w:val="en-US" w:eastAsia="zh-CN" w:bidi="ar-SA"/>
        </w:rPr>
        <w:t>变要求的；</w:t>
      </w:r>
    </w:p>
    <w:p w14:paraId="121E26EA">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bidi="ar-SA"/>
        </w:rPr>
        <w:t>（三）可以通过规范性文件解决问题的；</w:t>
      </w:r>
    </w:p>
    <w:p w14:paraId="2908DD4B">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bidi="ar-SA"/>
        </w:rPr>
        <w:t>（四）立法必要性不充分或者实践中难以执行的；</w:t>
      </w:r>
    </w:p>
    <w:p w14:paraId="5D7B4543">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bidi="ar-SA"/>
        </w:rPr>
        <w:t>（五）未按照本规定第十三条报送相关材料的；</w:t>
      </w:r>
    </w:p>
    <w:p w14:paraId="03D58753">
      <w:pPr>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bidi="ar-SA"/>
        </w:rPr>
        <w:t>（六）立法条件和时机不成熟的其他情形。”</w:t>
      </w:r>
    </w:p>
    <w:p w14:paraId="28FA30A7">
      <w:pPr>
        <w:keepNext w:val="0"/>
        <w:keepLines w:val="0"/>
        <w:pageBreakBefore w:val="0"/>
        <w:widowControl w:val="0"/>
        <w:suppressLineNumbers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val="en-US" w:eastAsia="zh-CN" w:bidi="ar-SA"/>
        </w:rPr>
        <w:t>新增一条，作为第二十四条：“</w:t>
      </w:r>
      <w:r>
        <w:rPr>
          <w:rFonts w:hint="eastAsia" w:ascii="仿宋" w:hAnsi="仿宋" w:eastAsia="仿宋" w:cs="仿宋"/>
          <w:spacing w:val="0"/>
          <w:kern w:val="2"/>
          <w:sz w:val="32"/>
          <w:szCs w:val="32"/>
          <w:lang w:val="en-US" w:eastAsia="zh-CN" w:bidi="ar"/>
        </w:rPr>
        <w:t>起草单位报送地方性法规、政府规章草案送审稿时，应当报送下列书面材料及其电子文本：</w:t>
      </w:r>
    </w:p>
    <w:p w14:paraId="552BB8B9">
      <w:pPr>
        <w:keepNext w:val="0"/>
        <w:keepLines w:val="0"/>
        <w:pageBreakBefore w:val="0"/>
        <w:widowControl w:val="0"/>
        <w:suppressLineNumbers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“（一）草案送审稿和起草说明；</w:t>
      </w:r>
    </w:p>
    <w:p w14:paraId="5A3EEC18">
      <w:pPr>
        <w:keepNext w:val="0"/>
        <w:keepLines w:val="0"/>
        <w:pageBreakBefore w:val="0"/>
        <w:widowControl w:val="0"/>
        <w:suppressLineNumbers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“（二）征求意见汇总情况以及分歧意见协调处理情况材料；</w:t>
      </w:r>
    </w:p>
    <w:p w14:paraId="7A5A087A">
      <w:pPr>
        <w:keepNext w:val="0"/>
        <w:keepLines w:val="0"/>
        <w:pageBreakBefore w:val="0"/>
        <w:widowControl w:val="0"/>
        <w:suppressLineNumbers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“（三）立法依据以及立法参阅材料；</w:t>
      </w:r>
    </w:p>
    <w:p w14:paraId="2F9ABA42">
      <w:pPr>
        <w:keepNext w:val="0"/>
        <w:keepLines w:val="0"/>
        <w:pageBreakBefore w:val="0"/>
        <w:widowControl w:val="0"/>
        <w:suppressLineNumbers w:val="0"/>
        <w:kinsoku/>
        <w:wordWrap/>
        <w:overflowPunct/>
        <w:topLinePunct/>
        <w:autoSpaceDE/>
        <w:autoSpaceDN/>
        <w:bidi w:val="0"/>
        <w:adjustRightInd/>
        <w:snapToGrid/>
        <w:spacing w:before="0" w:beforeLines="0" w:after="0" w:afterLines="0" w:line="580" w:lineRule="exact"/>
        <w:ind w:left="0" w:leftChars="0" w:right="0" w:rightChars="0" w:firstLine="616"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6"/>
          <w:kern w:val="2"/>
          <w:sz w:val="32"/>
          <w:szCs w:val="32"/>
          <w:lang w:val="en-US" w:eastAsia="zh-CN" w:bidi="ar-SA"/>
        </w:rPr>
        <w:t>“（四）调研报告、论证报告、听证报告、风险评估报告等需</w:t>
      </w:r>
      <w:r>
        <w:rPr>
          <w:rFonts w:hint="eastAsia" w:ascii="仿宋" w:hAnsi="仿宋" w:eastAsia="仿宋" w:cs="仿宋"/>
          <w:spacing w:val="0"/>
          <w:kern w:val="2"/>
          <w:sz w:val="32"/>
          <w:szCs w:val="32"/>
          <w:lang w:val="en-US" w:eastAsia="zh-CN" w:bidi="ar-SA"/>
        </w:rPr>
        <w:t>要提供的其他材料。”</w:t>
      </w:r>
    </w:p>
    <w:p w14:paraId="7A518593">
      <w:pPr>
        <w:keepNext w:val="0"/>
        <w:keepLines w:val="0"/>
        <w:pageBreakBefore w:val="0"/>
        <w:widowControl w:val="0"/>
        <w:suppressLineNumbers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
        </w:rPr>
      </w:pPr>
      <w:r>
        <w:rPr>
          <w:rFonts w:hint="eastAsia" w:ascii="仿宋" w:hAnsi="仿宋" w:eastAsia="仿宋" w:cs="仿宋"/>
          <w:spacing w:val="0"/>
          <w:kern w:val="2"/>
          <w:sz w:val="32"/>
          <w:szCs w:val="32"/>
          <w:lang w:val="en-US" w:eastAsia="zh-CN" w:bidi="ar-SA"/>
        </w:rPr>
        <w:t>新增一条，作为第二十五条：“</w:t>
      </w:r>
      <w:r>
        <w:rPr>
          <w:rFonts w:hint="eastAsia" w:ascii="仿宋" w:hAnsi="仿宋" w:eastAsia="仿宋" w:cs="仿宋"/>
          <w:spacing w:val="0"/>
          <w:kern w:val="2"/>
          <w:sz w:val="32"/>
          <w:szCs w:val="32"/>
          <w:lang w:val="en-US" w:eastAsia="zh-CN" w:bidi="ar"/>
        </w:rPr>
        <w:t>地方性法规、政府规章草案送审稿起草说明应当包括以下内容：</w:t>
      </w:r>
    </w:p>
    <w:p w14:paraId="35664F38">
      <w:pPr>
        <w:keepNext w:val="0"/>
        <w:keepLines w:val="0"/>
        <w:pageBreakBefore w:val="0"/>
        <w:widowControl w:val="0"/>
        <w:suppressLineNumbers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“（一）立法的必要性和可行性；</w:t>
      </w:r>
    </w:p>
    <w:p w14:paraId="491319DF">
      <w:pPr>
        <w:keepNext w:val="0"/>
        <w:keepLines w:val="0"/>
        <w:pageBreakBefore w:val="0"/>
        <w:widowControl w:val="0"/>
        <w:suppressLineNumbers w:val="0"/>
        <w:kinsoku/>
        <w:wordWrap/>
        <w:overflowPunct/>
        <w:topLinePunct/>
        <w:autoSpaceDE/>
        <w:autoSpaceDN/>
        <w:bidi w:val="0"/>
        <w:adjustRightInd/>
        <w:snapToGrid/>
        <w:spacing w:before="0" w:beforeLines="0" w:after="0" w:afterLines="0" w:line="580" w:lineRule="exact"/>
        <w:ind w:left="0" w:leftChars="0" w:right="0" w:rightChars="0" w:firstLine="616"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6"/>
          <w:kern w:val="2"/>
          <w:sz w:val="32"/>
          <w:szCs w:val="32"/>
          <w:lang w:val="en-US" w:eastAsia="zh-CN" w:bidi="ar-SA"/>
        </w:rPr>
        <w:t>“（二）拟规范事项的现状和实践中存在的问题，草案送审稿</w:t>
      </w:r>
      <w:r>
        <w:rPr>
          <w:rFonts w:hint="eastAsia" w:ascii="仿宋" w:hAnsi="仿宋" w:eastAsia="仿宋" w:cs="仿宋"/>
          <w:spacing w:val="0"/>
          <w:kern w:val="2"/>
          <w:sz w:val="32"/>
          <w:szCs w:val="32"/>
          <w:lang w:val="en-US" w:eastAsia="zh-CN" w:bidi="ar-SA"/>
        </w:rPr>
        <w:t>确立的解决问题的措施及其法律依据；</w:t>
      </w:r>
    </w:p>
    <w:p w14:paraId="2267927D">
      <w:pPr>
        <w:keepNext w:val="0"/>
        <w:keepLines w:val="0"/>
        <w:pageBreakBefore w:val="0"/>
        <w:widowControl w:val="0"/>
        <w:suppressLineNumbers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“（三）送审稿草案的起草过程；</w:t>
      </w:r>
    </w:p>
    <w:p w14:paraId="34BF6DDE">
      <w:pPr>
        <w:keepNext w:val="0"/>
        <w:keepLines w:val="0"/>
        <w:pageBreakBefore w:val="0"/>
        <w:widowControl w:val="0"/>
        <w:suppressLineNumbers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“（四）相关部门协商情况以及对分歧意见的处理情况；</w:t>
      </w:r>
    </w:p>
    <w:p w14:paraId="4CCBFA5F">
      <w:pPr>
        <w:keepNext w:val="0"/>
        <w:keepLines w:val="0"/>
        <w:pageBreakBefore w:val="0"/>
        <w:widowControl w:val="0"/>
        <w:suppressLineNumbers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（五）</w:t>
      </w:r>
      <w:r>
        <w:rPr>
          <w:rFonts w:hint="eastAsia" w:ascii="仿宋" w:hAnsi="仿宋" w:eastAsia="仿宋" w:cs="仿宋"/>
          <w:spacing w:val="0"/>
          <w:kern w:val="2"/>
          <w:sz w:val="32"/>
          <w:szCs w:val="32"/>
          <w:lang w:val="en-US" w:eastAsia="zh-CN" w:bidi="ar"/>
        </w:rPr>
        <w:t>需要说明的其他问题。</w:t>
      </w:r>
      <w:r>
        <w:rPr>
          <w:rFonts w:hint="eastAsia" w:ascii="仿宋" w:hAnsi="仿宋" w:eastAsia="仿宋" w:cs="仿宋"/>
          <w:spacing w:val="0"/>
          <w:kern w:val="2"/>
          <w:sz w:val="32"/>
          <w:szCs w:val="32"/>
          <w:lang w:val="en-US" w:eastAsia="zh-CN" w:bidi="ar-SA"/>
        </w:rPr>
        <w:t>”</w:t>
      </w:r>
    </w:p>
    <w:p w14:paraId="549D1C9B">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将第二十三条改为第二十七条，修改为：“地方性法规草案送审稿和政府规章草案送审稿有下列情形之一的，自治区人民政府司法行政部门可以暂缓审查：</w:t>
      </w:r>
    </w:p>
    <w:p w14:paraId="77CA40CB">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（一）</w:t>
      </w:r>
      <w:r>
        <w:rPr>
          <w:rFonts w:hint="eastAsia" w:ascii="仿宋" w:hAnsi="仿宋" w:eastAsia="仿宋" w:cs="仿宋"/>
          <w:spacing w:val="0"/>
          <w:kern w:val="2"/>
          <w:sz w:val="32"/>
          <w:szCs w:val="32"/>
          <w:lang w:val="en-US" w:eastAsia="zh-CN" w:bidi="ar-SA"/>
        </w:rPr>
        <w:t>未按照规定公开征求意见的；</w:t>
      </w:r>
    </w:p>
    <w:p w14:paraId="68C33DB7">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（二）</w:t>
      </w:r>
      <w:r>
        <w:rPr>
          <w:rFonts w:hint="eastAsia" w:ascii="仿宋" w:hAnsi="仿宋" w:eastAsia="仿宋" w:cs="仿宋"/>
          <w:spacing w:val="0"/>
          <w:kern w:val="2"/>
          <w:sz w:val="32"/>
          <w:szCs w:val="32"/>
          <w:lang w:val="en-US" w:eastAsia="zh-CN" w:bidi="ar"/>
        </w:rPr>
        <w:t>上位法正在制定或者修改的；</w:t>
      </w:r>
    </w:p>
    <w:p w14:paraId="11B4DC65">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16"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6"/>
          <w:kern w:val="2"/>
          <w:sz w:val="32"/>
          <w:szCs w:val="32"/>
          <w:lang w:eastAsia="zh-CN"/>
        </w:rPr>
        <w:t>“</w:t>
      </w:r>
      <w:r>
        <w:rPr>
          <w:rFonts w:hint="eastAsia" w:ascii="仿宋" w:hAnsi="仿宋" w:eastAsia="仿宋" w:cs="仿宋"/>
          <w:spacing w:val="-6"/>
          <w:kern w:val="2"/>
          <w:sz w:val="32"/>
          <w:szCs w:val="32"/>
          <w:lang w:val="en-US" w:eastAsia="zh-CN"/>
        </w:rPr>
        <w:t>（三）</w:t>
      </w:r>
      <w:r>
        <w:rPr>
          <w:rFonts w:hint="eastAsia" w:ascii="仿宋" w:hAnsi="仿宋" w:eastAsia="仿宋" w:cs="仿宋"/>
          <w:spacing w:val="-6"/>
          <w:kern w:val="2"/>
          <w:sz w:val="32"/>
          <w:szCs w:val="32"/>
          <w:lang w:val="en-US" w:eastAsia="zh-CN" w:bidi="ar-SA"/>
        </w:rPr>
        <w:t>有关机构或者部门对草案送审稿存在较大争议，起草</w:t>
      </w:r>
      <w:r>
        <w:rPr>
          <w:rFonts w:hint="eastAsia" w:ascii="仿宋" w:hAnsi="仿宋" w:eastAsia="仿宋" w:cs="仿宋"/>
          <w:spacing w:val="0"/>
          <w:kern w:val="2"/>
          <w:sz w:val="32"/>
          <w:szCs w:val="32"/>
          <w:lang w:val="en-US" w:eastAsia="zh-CN" w:bidi="ar-SA"/>
        </w:rPr>
        <w:t>单位未与有关机构或者部门充分协商的；</w:t>
      </w:r>
    </w:p>
    <w:p w14:paraId="5F41EEE0">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（四）</w:t>
      </w:r>
      <w:r>
        <w:rPr>
          <w:rFonts w:hint="eastAsia" w:ascii="仿宋" w:hAnsi="仿宋" w:eastAsia="仿宋" w:cs="仿宋"/>
          <w:spacing w:val="0"/>
          <w:kern w:val="2"/>
          <w:sz w:val="32"/>
          <w:szCs w:val="32"/>
          <w:lang w:val="en-US" w:eastAsia="zh-CN" w:bidi="ar-SA"/>
        </w:rPr>
        <w:t>未经起草单位主要负责人签署的；</w:t>
      </w:r>
    </w:p>
    <w:p w14:paraId="657BCA92">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（五）</w:t>
      </w:r>
      <w:r>
        <w:rPr>
          <w:rFonts w:hint="eastAsia" w:ascii="仿宋" w:hAnsi="仿宋" w:eastAsia="仿宋" w:cs="仿宋"/>
          <w:spacing w:val="0"/>
          <w:kern w:val="2"/>
          <w:sz w:val="32"/>
          <w:szCs w:val="32"/>
          <w:lang w:val="en-US" w:eastAsia="zh-CN" w:bidi="ar-SA"/>
        </w:rPr>
        <w:t>起草单位提出暂缓审查书面申请的；</w:t>
      </w:r>
    </w:p>
    <w:p w14:paraId="1C1AC5EE">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（六）</w:t>
      </w:r>
      <w:r>
        <w:rPr>
          <w:rFonts w:hint="eastAsia" w:ascii="仿宋" w:hAnsi="仿宋" w:eastAsia="仿宋" w:cs="仿宋"/>
          <w:spacing w:val="0"/>
          <w:kern w:val="2"/>
          <w:sz w:val="32"/>
          <w:szCs w:val="32"/>
          <w:lang w:val="en-US" w:eastAsia="zh-CN" w:bidi="ar-SA"/>
        </w:rPr>
        <w:t>法律、法规规定可以暂缓审查的其他情形。”</w:t>
      </w:r>
    </w:p>
    <w:p w14:paraId="397C0125">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将第三十四条改为第三十八条，修改为：“政府规章签署公布后，应当及时在《内蒙古自治区人民政府公报》和中国政府法制信息网以及《内蒙古日报》、自治区人民政府门户网站刊载。</w:t>
      </w:r>
    </w:p>
    <w:p w14:paraId="21E52DBB">
      <w:pPr>
        <w:pStyle w:val="5"/>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bidi="ar-SA"/>
        </w:rPr>
      </w:pPr>
      <w:r>
        <w:rPr>
          <w:rFonts w:hint="eastAsia" w:ascii="仿宋" w:hAnsi="仿宋" w:eastAsia="仿宋" w:cs="仿宋"/>
          <w:spacing w:val="0"/>
          <w:kern w:val="2"/>
          <w:sz w:val="32"/>
          <w:szCs w:val="32"/>
          <w:lang w:val="en-US" w:eastAsia="zh-CN" w:bidi="ar-SA"/>
        </w:rPr>
        <w:t>“在《内蒙古自治区人民政府公报》上刊载的政府规章文本为标准文本。”</w:t>
      </w:r>
    </w:p>
    <w:p w14:paraId="1122DCAC">
      <w:pPr>
        <w:keepNext w:val="0"/>
        <w:keepLines w:val="0"/>
        <w:pageBreakBefore w:val="0"/>
        <w:widowControl w:val="0"/>
        <w:kinsoku/>
        <w:overflowPunct/>
        <w:topLinePunct/>
        <w:autoSpaceDE/>
        <w:autoSpaceDN/>
        <w:bidi w:val="0"/>
        <w:spacing w:before="0" w:beforeLines="0" w:after="0" w:afterLines="0" w:line="580" w:lineRule="exact"/>
        <w:ind w:left="0" w:leftChars="0" w:right="0" w:rightChars="0" w:firstLine="640" w:firstLineChars="200"/>
        <w:jc w:val="both"/>
        <w:rPr>
          <w:rFonts w:hint="eastAsia" w:ascii="仿宋" w:hAnsi="仿宋" w:eastAsia="仿宋" w:cs="仿宋"/>
          <w:spacing w:val="0"/>
          <w:kern w:val="2"/>
          <w:sz w:val="32"/>
          <w:szCs w:val="32"/>
          <w:lang w:val="en-US" w:eastAsia="zh-CN"/>
        </w:rPr>
      </w:pPr>
      <w:r>
        <w:rPr>
          <w:rFonts w:hint="eastAsia" w:ascii="仿宋" w:hAnsi="仿宋" w:eastAsia="仿宋" w:cs="仿宋"/>
          <w:spacing w:val="0"/>
          <w:kern w:val="2"/>
          <w:sz w:val="32"/>
          <w:szCs w:val="32"/>
          <w:lang w:val="en-US" w:eastAsia="zh-CN" w:bidi="ar-SA"/>
        </w:rPr>
        <w:t>将第三十六条改为第四十条，修改为：“</w:t>
      </w:r>
      <w:r>
        <w:rPr>
          <w:rFonts w:hint="eastAsia" w:ascii="仿宋" w:hAnsi="仿宋" w:eastAsia="仿宋" w:cs="仿宋"/>
          <w:spacing w:val="0"/>
          <w:kern w:val="2"/>
          <w:sz w:val="32"/>
          <w:szCs w:val="32"/>
        </w:rPr>
        <w:t>政府规章应当</w:t>
      </w:r>
      <w:r>
        <w:rPr>
          <w:rFonts w:hint="eastAsia" w:ascii="仿宋" w:hAnsi="仿宋" w:eastAsia="仿宋" w:cs="仿宋"/>
          <w:spacing w:val="0"/>
          <w:kern w:val="2"/>
          <w:sz w:val="32"/>
          <w:szCs w:val="32"/>
          <w:lang w:eastAsia="zh-CN"/>
        </w:rPr>
        <w:t>在</w:t>
      </w:r>
      <w:r>
        <w:rPr>
          <w:rFonts w:hint="eastAsia" w:ascii="仿宋" w:hAnsi="仿宋" w:eastAsia="仿宋" w:cs="仿宋"/>
          <w:spacing w:val="0"/>
          <w:kern w:val="2"/>
          <w:sz w:val="32"/>
          <w:szCs w:val="32"/>
        </w:rPr>
        <w:t>公布之</w:t>
      </w:r>
      <w:r>
        <w:rPr>
          <w:rFonts w:hint="eastAsia" w:ascii="仿宋" w:hAnsi="仿宋" w:eastAsia="仿宋" w:cs="仿宋"/>
          <w:spacing w:val="0"/>
          <w:kern w:val="2"/>
          <w:sz w:val="32"/>
          <w:szCs w:val="32"/>
          <w:lang w:eastAsia="zh-CN"/>
        </w:rPr>
        <w:t>后</w:t>
      </w:r>
      <w:r>
        <w:rPr>
          <w:rFonts w:hint="eastAsia" w:ascii="仿宋" w:hAnsi="仿宋" w:eastAsia="仿宋" w:cs="仿宋"/>
          <w:spacing w:val="0"/>
          <w:kern w:val="2"/>
          <w:sz w:val="32"/>
          <w:szCs w:val="32"/>
        </w:rPr>
        <w:t>三十日内，向国务院和自治区人民代表大会常务委员会备案。</w:t>
      </w:r>
      <w:r>
        <w:rPr>
          <w:rFonts w:hint="eastAsia" w:ascii="仿宋" w:hAnsi="仿宋" w:eastAsia="仿宋" w:cs="仿宋"/>
          <w:spacing w:val="0"/>
          <w:kern w:val="2"/>
          <w:sz w:val="32"/>
          <w:szCs w:val="32"/>
          <w:lang w:eastAsia="zh-CN"/>
        </w:rPr>
        <w:t>自治区人民政府司法行政部门具体负责政府规章备案工作。</w:t>
      </w:r>
      <w:r>
        <w:rPr>
          <w:rFonts w:hint="eastAsia" w:ascii="仿宋" w:hAnsi="仿宋" w:eastAsia="仿宋" w:cs="仿宋"/>
          <w:spacing w:val="0"/>
          <w:kern w:val="2"/>
          <w:sz w:val="32"/>
          <w:szCs w:val="32"/>
          <w:lang w:val="en-US" w:eastAsia="zh-CN" w:bidi="ar-SA"/>
        </w:rPr>
        <w:t>”</w:t>
      </w:r>
    </w:p>
    <w:p w14:paraId="229F8C26">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jc w:val="both"/>
        <w:textAlignment w:val="auto"/>
        <w:rPr>
          <w:rFonts w:hint="eastAsia" w:ascii="仿宋" w:hAnsi="仿宋" w:eastAsia="仿宋" w:cs="仿宋"/>
          <w:spacing w:val="0"/>
          <w:kern w:val="2"/>
          <w:sz w:val="32"/>
          <w:szCs w:val="32"/>
          <w:lang w:eastAsia="zh-CN"/>
        </w:rPr>
      </w:pPr>
      <w:r>
        <w:rPr>
          <w:rFonts w:hint="eastAsia" w:ascii="仿宋" w:hAnsi="仿宋" w:eastAsia="仿宋" w:cs="仿宋"/>
          <w:spacing w:val="0"/>
          <w:kern w:val="2"/>
          <w:sz w:val="32"/>
          <w:szCs w:val="32"/>
          <w:lang w:val="en-US" w:eastAsia="zh-CN" w:bidi="ar-SA"/>
        </w:rPr>
        <w:t>将第四十二条改为第四十六条，修改为：“</w:t>
      </w:r>
      <w:r>
        <w:rPr>
          <w:rFonts w:hint="eastAsia" w:ascii="仿宋" w:hAnsi="仿宋" w:eastAsia="仿宋" w:cs="仿宋"/>
          <w:spacing w:val="0"/>
          <w:kern w:val="2"/>
          <w:sz w:val="32"/>
          <w:szCs w:val="32"/>
        </w:rPr>
        <w:t>政府规章有下列情形之一的，有关部门应当及时提出修改、废止建议</w:t>
      </w:r>
      <w:r>
        <w:rPr>
          <w:rFonts w:hint="eastAsia" w:ascii="仿宋" w:hAnsi="仿宋" w:eastAsia="仿宋" w:cs="仿宋"/>
          <w:spacing w:val="0"/>
          <w:kern w:val="2"/>
          <w:sz w:val="32"/>
          <w:szCs w:val="32"/>
          <w:lang w:eastAsia="zh-CN"/>
        </w:rPr>
        <w:t>：</w:t>
      </w:r>
    </w:p>
    <w:p w14:paraId="64A19031">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jc w:val="both"/>
        <w:textAlignment w:val="auto"/>
        <w:rPr>
          <w:rFonts w:hint="eastAsia" w:ascii="仿宋" w:hAnsi="仿宋" w:eastAsia="仿宋" w:cs="仿宋"/>
          <w:spacing w:val="0"/>
          <w:kern w:val="2"/>
          <w:sz w:val="32"/>
          <w:szCs w:val="32"/>
          <w:lang w:val="en-US" w:eastAsia="zh-CN"/>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（一）与铸牢中华民族共同体意识工作主线要求不相符的；</w:t>
      </w:r>
    </w:p>
    <w:p w14:paraId="2E2C4E08">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jc w:val="both"/>
        <w:textAlignment w:val="auto"/>
        <w:rPr>
          <w:rFonts w:hint="eastAsia" w:ascii="仿宋" w:hAnsi="仿宋" w:eastAsia="仿宋" w:cs="仿宋"/>
          <w:spacing w:val="0"/>
          <w:kern w:val="2"/>
          <w:sz w:val="32"/>
          <w:szCs w:val="32"/>
        </w:rPr>
      </w:pPr>
      <w:r>
        <w:rPr>
          <w:rFonts w:hint="eastAsia" w:ascii="仿宋" w:hAnsi="仿宋" w:eastAsia="仿宋" w:cs="仿宋"/>
          <w:spacing w:val="-6"/>
          <w:kern w:val="2"/>
          <w:sz w:val="32"/>
          <w:szCs w:val="32"/>
          <w:lang w:eastAsia="zh-CN"/>
        </w:rPr>
        <w:t>“（二）</w:t>
      </w:r>
      <w:r>
        <w:rPr>
          <w:rFonts w:hint="eastAsia" w:ascii="仿宋" w:hAnsi="仿宋" w:eastAsia="仿宋" w:cs="仿宋"/>
          <w:spacing w:val="-6"/>
          <w:kern w:val="2"/>
          <w:sz w:val="32"/>
          <w:szCs w:val="32"/>
        </w:rPr>
        <w:t>与新制定的上位法抵触或者所依据的上位法已经修</w:t>
      </w:r>
      <w:r>
        <w:rPr>
          <w:rFonts w:hint="eastAsia" w:ascii="仿宋" w:hAnsi="仿宋" w:eastAsia="仿宋" w:cs="仿宋"/>
          <w:spacing w:val="0"/>
          <w:kern w:val="2"/>
          <w:sz w:val="32"/>
          <w:szCs w:val="32"/>
        </w:rPr>
        <w:t>改、废止的；</w:t>
      </w:r>
    </w:p>
    <w:p w14:paraId="63DCE3F9">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jc w:val="both"/>
        <w:textAlignment w:val="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eastAsia="zh-CN"/>
        </w:rPr>
        <w:t>“（三）</w:t>
      </w:r>
      <w:r>
        <w:rPr>
          <w:rFonts w:hint="eastAsia" w:ascii="仿宋" w:hAnsi="仿宋" w:eastAsia="仿宋" w:cs="仿宋"/>
          <w:spacing w:val="0"/>
          <w:kern w:val="2"/>
          <w:sz w:val="32"/>
          <w:szCs w:val="32"/>
        </w:rPr>
        <w:t>主要内容被新公布的法律、法规替代的；</w:t>
      </w:r>
    </w:p>
    <w:p w14:paraId="2E4BE345">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jc w:val="both"/>
        <w:textAlignment w:val="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eastAsia="zh-CN"/>
        </w:rPr>
        <w:t>“（四）</w:t>
      </w:r>
      <w:r>
        <w:rPr>
          <w:rFonts w:hint="eastAsia" w:ascii="仿宋" w:hAnsi="仿宋" w:eastAsia="仿宋" w:cs="仿宋"/>
          <w:spacing w:val="0"/>
          <w:kern w:val="2"/>
          <w:sz w:val="32"/>
          <w:szCs w:val="32"/>
        </w:rPr>
        <w:t>调整对象已经消失或者发生变化的；</w:t>
      </w:r>
    </w:p>
    <w:p w14:paraId="53A24600">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jc w:val="both"/>
        <w:textAlignment w:val="auto"/>
        <w:rPr>
          <w:rFonts w:hint="eastAsia" w:ascii="仿宋" w:hAnsi="仿宋" w:eastAsia="仿宋" w:cs="仿宋"/>
          <w:spacing w:val="0"/>
          <w:kern w:val="2"/>
          <w:sz w:val="32"/>
          <w:szCs w:val="32"/>
          <w:lang w:val="en-US" w:eastAsia="zh-CN"/>
        </w:rPr>
      </w:pPr>
      <w:r>
        <w:rPr>
          <w:rFonts w:hint="eastAsia" w:ascii="仿宋" w:hAnsi="仿宋" w:eastAsia="仿宋" w:cs="仿宋"/>
          <w:spacing w:val="0"/>
          <w:kern w:val="2"/>
          <w:sz w:val="32"/>
          <w:szCs w:val="32"/>
          <w:lang w:eastAsia="zh-CN"/>
        </w:rPr>
        <w:t>“</w:t>
      </w:r>
      <w:r>
        <w:rPr>
          <w:rFonts w:hint="eastAsia" w:ascii="仿宋" w:hAnsi="仿宋" w:eastAsia="仿宋" w:cs="仿宋"/>
          <w:spacing w:val="0"/>
          <w:kern w:val="2"/>
          <w:sz w:val="32"/>
          <w:szCs w:val="32"/>
          <w:lang w:val="en-US" w:eastAsia="zh-CN"/>
        </w:rPr>
        <w:t>（五）实施主体发生变化的；</w:t>
      </w:r>
    </w:p>
    <w:p w14:paraId="78895C4F">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jc w:val="both"/>
        <w:textAlignment w:val="auto"/>
        <w:rPr>
          <w:rFonts w:hint="eastAsia" w:ascii="仿宋" w:hAnsi="仿宋" w:eastAsia="仿宋" w:cs="仿宋"/>
          <w:spacing w:val="0"/>
          <w:kern w:val="2"/>
          <w:sz w:val="32"/>
          <w:szCs w:val="32"/>
          <w:lang w:val="en-US" w:eastAsia="zh-CN"/>
        </w:rPr>
      </w:pPr>
      <w:r>
        <w:rPr>
          <w:rFonts w:hint="eastAsia" w:ascii="仿宋" w:hAnsi="仿宋" w:eastAsia="仿宋" w:cs="仿宋"/>
          <w:spacing w:val="0"/>
          <w:kern w:val="2"/>
          <w:sz w:val="32"/>
          <w:szCs w:val="32"/>
          <w:lang w:eastAsia="zh-CN"/>
        </w:rPr>
        <w:t>“</w:t>
      </w:r>
      <w:r>
        <w:rPr>
          <w:rFonts w:hint="eastAsia" w:ascii="仿宋" w:hAnsi="仿宋" w:eastAsia="仿宋" w:cs="仿宋"/>
          <w:color w:val="auto"/>
          <w:spacing w:val="0"/>
          <w:kern w:val="2"/>
          <w:sz w:val="32"/>
          <w:szCs w:val="32"/>
          <w:lang w:val="en-US" w:eastAsia="zh-CN" w:bidi="ar-SA"/>
        </w:rPr>
        <w:t>（六）</w:t>
      </w:r>
      <w:r>
        <w:rPr>
          <w:rFonts w:hint="eastAsia" w:ascii="仿宋" w:hAnsi="仿宋" w:eastAsia="仿宋" w:cs="仿宋"/>
          <w:spacing w:val="0"/>
          <w:kern w:val="2"/>
          <w:sz w:val="32"/>
          <w:szCs w:val="32"/>
        </w:rPr>
        <w:t>不适应全面深化改革和经济社会发展需要的；</w:t>
      </w:r>
    </w:p>
    <w:p w14:paraId="0D3B07D5">
      <w:pPr>
        <w:pStyle w:val="50"/>
        <w:keepNext w:val="0"/>
        <w:keepLines w:val="0"/>
        <w:pageBreakBefore w:val="0"/>
        <w:widowControl w:val="0"/>
        <w:kinsoku/>
        <w:overflowPunct/>
        <w:topLinePunct/>
        <w:autoSpaceDE/>
        <w:autoSpaceDN/>
        <w:bidi w:val="0"/>
        <w:adjustRightInd w:val="0"/>
        <w:snapToGrid w:val="0"/>
        <w:spacing w:before="0" w:beforeLines="0" w:after="0" w:afterLines="0" w:line="580" w:lineRule="exact"/>
        <w:ind w:left="0" w:leftChars="0" w:right="0" w:rightChars="0" w:firstLine="640" w:firstLineChars="0"/>
        <w:jc w:val="both"/>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eastAsia="zh-CN"/>
        </w:rPr>
        <w:t>“</w:t>
      </w:r>
      <w:r>
        <w:rPr>
          <w:rFonts w:hint="eastAsia" w:ascii="仿宋" w:hAnsi="仿宋" w:eastAsia="仿宋" w:cs="仿宋"/>
          <w:color w:val="auto"/>
          <w:spacing w:val="0"/>
          <w:kern w:val="2"/>
          <w:sz w:val="32"/>
          <w:szCs w:val="32"/>
          <w:lang w:val="en-US" w:eastAsia="zh-CN" w:bidi="ar-SA"/>
        </w:rPr>
        <w:t>（七）</w:t>
      </w:r>
      <w:r>
        <w:rPr>
          <w:rFonts w:hint="eastAsia" w:ascii="仿宋" w:hAnsi="仿宋" w:eastAsia="仿宋" w:cs="仿宋"/>
          <w:spacing w:val="0"/>
          <w:kern w:val="2"/>
          <w:sz w:val="32"/>
          <w:szCs w:val="32"/>
        </w:rPr>
        <w:t>应当修改、废止的其他情形。</w:t>
      </w:r>
      <w:r>
        <w:rPr>
          <w:rFonts w:hint="eastAsia" w:ascii="仿宋" w:hAnsi="仿宋" w:eastAsia="仿宋" w:cs="仿宋"/>
          <w:spacing w:val="0"/>
          <w:kern w:val="2"/>
          <w:sz w:val="32"/>
          <w:szCs w:val="32"/>
          <w:lang w:val="en-US" w:eastAsia="zh-CN"/>
        </w:rPr>
        <w:t>”</w:t>
      </w:r>
    </w:p>
    <w:p w14:paraId="09803663">
      <w:pPr>
        <w:pStyle w:val="50"/>
        <w:keepNext w:val="0"/>
        <w:keepLines w:val="0"/>
        <w:pageBreakBefore w:val="0"/>
        <w:widowControl w:val="0"/>
        <w:kinsoku/>
        <w:overflowPunct/>
        <w:topLinePunct/>
        <w:autoSpaceDE/>
        <w:autoSpaceDN/>
        <w:bidi w:val="0"/>
        <w:adjustRightInd w:val="0"/>
        <w:snapToGrid w:val="0"/>
        <w:spacing w:before="0" w:beforeLines="0" w:after="0" w:afterLines="0" w:line="580" w:lineRule="exact"/>
        <w:ind w:left="0" w:leftChars="0" w:right="0" w:rightChars="0" w:firstLine="640" w:firstLineChars="0"/>
        <w:jc w:val="both"/>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《内蒙古自治区人民政府拟定地方性法规草案和制定政府规章程序规定》</w:t>
      </w:r>
      <w:r>
        <w:rPr>
          <w:rFonts w:hint="eastAsia" w:ascii="仿宋" w:hAnsi="仿宋" w:eastAsia="仿宋" w:cs="仿宋"/>
          <w:spacing w:val="0"/>
          <w:kern w:val="2"/>
          <w:sz w:val="32"/>
          <w:szCs w:val="32"/>
          <w:lang w:eastAsia="zh-CN"/>
        </w:rPr>
        <w:t>的“年度立法计划”均修改为“立法计划”。</w:t>
      </w:r>
    </w:p>
    <w:p w14:paraId="33D15A75">
      <w:pPr>
        <w:keepNext w:val="0"/>
        <w:keepLines w:val="0"/>
        <w:pageBreakBefore w:val="0"/>
        <w:widowControl w:val="0"/>
        <w:kinsoku/>
        <w:overflowPunct/>
        <w:topLinePunct/>
        <w:autoSpaceDE/>
        <w:autoSpaceDN/>
        <w:bidi w:val="0"/>
        <w:spacing w:before="0" w:beforeLines="0" w:beforeAutospacing="0" w:after="0" w:afterLines="0" w:afterAutospacing="0" w:line="580" w:lineRule="exact"/>
        <w:ind w:left="0" w:leftChars="0" w:right="0" w:rightChars="0" w:firstLine="640" w:firstLineChars="200"/>
        <w:jc w:val="both"/>
        <w:rPr>
          <w:rFonts w:hint="eastAsia" w:ascii="仿宋" w:hAnsi="仿宋" w:eastAsia="仿宋" w:cs="仿宋"/>
          <w:spacing w:val="0"/>
          <w:kern w:val="2"/>
          <w:sz w:val="32"/>
          <w:szCs w:val="32"/>
          <w:lang w:eastAsia="zh-CN"/>
        </w:rPr>
      </w:pPr>
      <w:r>
        <w:rPr>
          <w:rFonts w:hint="eastAsia" w:ascii="仿宋" w:hAnsi="仿宋" w:eastAsia="仿宋" w:cs="仿宋"/>
          <w:spacing w:val="0"/>
          <w:kern w:val="2"/>
          <w:sz w:val="32"/>
          <w:szCs w:val="32"/>
        </w:rPr>
        <w:t>《内蒙古自治区人民政府拟定地方性法规草案和制定政府规章程序规定》</w:t>
      </w:r>
      <w:r>
        <w:rPr>
          <w:rFonts w:hint="eastAsia" w:ascii="仿宋" w:hAnsi="仿宋" w:eastAsia="仿宋" w:cs="仿宋"/>
          <w:spacing w:val="0"/>
          <w:kern w:val="2"/>
          <w:sz w:val="32"/>
          <w:szCs w:val="32"/>
          <w:lang w:eastAsia="zh-CN"/>
        </w:rPr>
        <w:t>的条</w:t>
      </w:r>
      <w:r>
        <w:rPr>
          <w:rFonts w:hint="eastAsia" w:ascii="仿宋" w:hAnsi="仿宋" w:eastAsia="仿宋" w:cs="仿宋"/>
          <w:spacing w:val="0"/>
          <w:kern w:val="2"/>
          <w:sz w:val="32"/>
          <w:szCs w:val="32"/>
        </w:rPr>
        <w:t>文</w:t>
      </w:r>
      <w:r>
        <w:rPr>
          <w:rFonts w:hint="eastAsia" w:ascii="仿宋" w:hAnsi="仿宋" w:eastAsia="仿宋" w:cs="仿宋"/>
          <w:spacing w:val="0"/>
          <w:kern w:val="2"/>
          <w:sz w:val="32"/>
          <w:szCs w:val="32"/>
          <w:lang w:eastAsia="zh-CN"/>
        </w:rPr>
        <w:t>序号</w:t>
      </w:r>
      <w:r>
        <w:rPr>
          <w:rFonts w:hint="eastAsia" w:ascii="仿宋" w:hAnsi="仿宋" w:eastAsia="仿宋" w:cs="仿宋"/>
          <w:spacing w:val="0"/>
          <w:kern w:val="2"/>
          <w:sz w:val="32"/>
          <w:szCs w:val="32"/>
        </w:rPr>
        <w:t>作相应调整</w:t>
      </w:r>
      <w:r>
        <w:rPr>
          <w:rFonts w:hint="eastAsia" w:ascii="仿宋" w:hAnsi="仿宋" w:eastAsia="仿宋" w:cs="仿宋"/>
          <w:spacing w:val="0"/>
          <w:kern w:val="2"/>
          <w:sz w:val="32"/>
          <w:szCs w:val="32"/>
          <w:lang w:eastAsia="zh-CN"/>
        </w:rPr>
        <w:t>。</w:t>
      </w:r>
    </w:p>
    <w:p w14:paraId="3DAD3CCA">
      <w:pPr>
        <w:keepNext w:val="0"/>
        <w:keepLines w:val="0"/>
        <w:pageBreakBefore w:val="0"/>
        <w:widowControl w:val="0"/>
        <w:kinsoku/>
        <w:overflowPunct/>
        <w:topLinePunct/>
        <w:autoSpaceDE/>
        <w:autoSpaceDN/>
        <w:bidi w:val="0"/>
        <w:spacing w:before="0" w:beforeLines="0" w:beforeAutospacing="0" w:after="0" w:afterLines="0" w:afterAutospacing="0" w:line="580" w:lineRule="exact"/>
        <w:ind w:left="0" w:leftChars="0" w:right="0" w:rightChars="0" w:firstLine="640" w:firstLineChars="200"/>
        <w:jc w:val="both"/>
        <w:rPr>
          <w:rFonts w:hint="eastAsia" w:ascii="仿宋" w:hAnsi="仿宋" w:eastAsia="仿宋" w:cs="仿宋"/>
          <w:spacing w:val="0"/>
          <w:kern w:val="2"/>
          <w:sz w:val="32"/>
          <w:szCs w:val="32"/>
          <w:lang w:val="en-US" w:eastAsia="zh-CN"/>
        </w:rPr>
      </w:pPr>
      <w:r>
        <w:rPr>
          <w:rFonts w:hint="eastAsia" w:ascii="仿宋" w:hAnsi="仿宋" w:eastAsia="仿宋" w:cs="仿宋"/>
          <w:spacing w:val="0"/>
          <w:kern w:val="2"/>
          <w:sz w:val="32"/>
          <w:szCs w:val="32"/>
          <w:lang w:val="en-US" w:eastAsia="zh-CN"/>
        </w:rPr>
        <w:t>二、内蒙古自治区行政事业性国有资产管理办法</w:t>
      </w:r>
    </w:p>
    <w:p w14:paraId="1A7758F1">
      <w:pPr>
        <w:pStyle w:val="2"/>
        <w:keepNext w:val="0"/>
        <w:keepLines w:val="0"/>
        <w:pageBreakBefore w:val="0"/>
        <w:widowControl w:val="0"/>
        <w:kinsoku/>
        <w:overflowPunct/>
        <w:topLinePunct/>
        <w:autoSpaceDE/>
        <w:autoSpaceDN/>
        <w:bidi w:val="0"/>
        <w:spacing w:before="0" w:beforeLines="0" w:beforeAutospacing="0" w:after="0" w:afterLines="0" w:afterAutospacing="0" w:line="580" w:lineRule="exact"/>
        <w:ind w:left="0" w:leftChars="0" w:right="0" w:rightChars="0" w:firstLine="640" w:firstLineChars="200"/>
        <w:jc w:val="both"/>
        <w:rPr>
          <w:rFonts w:hint="eastAsia" w:ascii="仿宋" w:hAnsi="仿宋" w:eastAsia="仿宋" w:cs="仿宋"/>
          <w:b w:val="0"/>
          <w:bCs w:val="0"/>
          <w:spacing w:val="0"/>
          <w:kern w:val="2"/>
          <w:sz w:val="32"/>
          <w:szCs w:val="32"/>
          <w:lang w:val="en-US" w:eastAsia="zh-CN"/>
        </w:rPr>
      </w:pPr>
      <w:r>
        <w:rPr>
          <w:rFonts w:hint="eastAsia" w:ascii="仿宋" w:hAnsi="仿宋" w:eastAsia="仿宋" w:cs="仿宋"/>
          <w:b w:val="0"/>
          <w:bCs w:val="0"/>
          <w:spacing w:val="0"/>
          <w:kern w:val="2"/>
          <w:sz w:val="32"/>
          <w:szCs w:val="32"/>
          <w:lang w:val="en-US" w:eastAsia="zh-CN"/>
        </w:rPr>
        <w:t>将第五十一条修改为：“有下列情形之一的，各部门及其所属单位应当对行政事业性国有资产进行清查：</w:t>
      </w:r>
    </w:p>
    <w:p w14:paraId="17C491A1">
      <w:pPr>
        <w:pStyle w:val="2"/>
        <w:keepNext w:val="0"/>
        <w:keepLines w:val="0"/>
        <w:pageBreakBefore w:val="0"/>
        <w:widowControl w:val="0"/>
        <w:kinsoku/>
        <w:overflowPunct/>
        <w:topLinePunct/>
        <w:autoSpaceDE/>
        <w:autoSpaceDN/>
        <w:bidi w:val="0"/>
        <w:spacing w:before="0" w:beforeLines="0" w:beforeAutospacing="0" w:after="0" w:afterLines="0" w:afterAutospacing="0" w:line="580" w:lineRule="exact"/>
        <w:ind w:left="0" w:leftChars="0" w:right="0" w:rightChars="0" w:firstLine="640" w:firstLineChars="200"/>
        <w:jc w:val="both"/>
        <w:rPr>
          <w:rFonts w:hint="eastAsia" w:ascii="仿宋" w:hAnsi="仿宋" w:eastAsia="仿宋" w:cs="仿宋"/>
          <w:b w:val="0"/>
          <w:bCs w:val="0"/>
          <w:spacing w:val="-6"/>
          <w:kern w:val="2"/>
          <w:sz w:val="32"/>
          <w:szCs w:val="32"/>
          <w:lang w:val="en-US" w:eastAsia="zh-CN"/>
        </w:rPr>
      </w:pPr>
      <w:r>
        <w:rPr>
          <w:rFonts w:hint="eastAsia" w:ascii="仿宋" w:hAnsi="仿宋" w:eastAsia="仿宋" w:cs="仿宋"/>
          <w:b w:val="0"/>
          <w:bCs/>
          <w:spacing w:val="0"/>
          <w:kern w:val="2"/>
          <w:sz w:val="32"/>
          <w:szCs w:val="32"/>
          <w:lang w:eastAsia="zh-CN"/>
        </w:rPr>
        <w:t>“</w:t>
      </w:r>
      <w:r>
        <w:rPr>
          <w:rFonts w:hint="eastAsia" w:ascii="仿宋" w:hAnsi="仿宋" w:eastAsia="仿宋" w:cs="仿宋"/>
          <w:b w:val="0"/>
          <w:bCs/>
          <w:spacing w:val="0"/>
          <w:kern w:val="2"/>
          <w:sz w:val="32"/>
          <w:szCs w:val="32"/>
          <w:lang w:val="en-US" w:eastAsia="zh-CN"/>
        </w:rPr>
        <w:t>（一）</w:t>
      </w:r>
      <w:r>
        <w:rPr>
          <w:rFonts w:hint="eastAsia" w:ascii="仿宋" w:hAnsi="仿宋" w:eastAsia="仿宋" w:cs="仿宋"/>
          <w:b w:val="0"/>
          <w:bCs w:val="0"/>
          <w:spacing w:val="-6"/>
          <w:kern w:val="2"/>
          <w:sz w:val="32"/>
          <w:szCs w:val="32"/>
          <w:lang w:val="en-US" w:eastAsia="zh-CN"/>
        </w:rPr>
        <w:t>根据上级或者本级人民政府部署要求组织资产清查的；</w:t>
      </w:r>
    </w:p>
    <w:p w14:paraId="5FE44698">
      <w:pPr>
        <w:pStyle w:val="2"/>
        <w:keepNext w:val="0"/>
        <w:keepLines w:val="0"/>
        <w:pageBreakBefore w:val="0"/>
        <w:widowControl w:val="0"/>
        <w:kinsoku/>
        <w:overflowPunct/>
        <w:topLinePunct/>
        <w:autoSpaceDE/>
        <w:autoSpaceDN/>
        <w:bidi w:val="0"/>
        <w:spacing w:before="0" w:beforeLines="0" w:beforeAutospacing="0" w:after="0" w:afterLines="0" w:afterAutospacing="0" w:line="580" w:lineRule="exact"/>
        <w:ind w:left="0" w:leftChars="0" w:right="0" w:rightChars="0" w:firstLine="616" w:firstLineChars="200"/>
        <w:jc w:val="both"/>
        <w:rPr>
          <w:rFonts w:hint="eastAsia" w:ascii="仿宋" w:hAnsi="仿宋" w:eastAsia="仿宋" w:cs="仿宋"/>
          <w:b w:val="0"/>
          <w:bCs w:val="0"/>
          <w:spacing w:val="0"/>
          <w:kern w:val="2"/>
          <w:sz w:val="32"/>
          <w:szCs w:val="32"/>
          <w:lang w:val="en-US" w:eastAsia="zh-CN"/>
        </w:rPr>
      </w:pPr>
      <w:r>
        <w:rPr>
          <w:rFonts w:hint="eastAsia" w:ascii="仿宋" w:hAnsi="仿宋" w:eastAsia="仿宋" w:cs="仿宋"/>
          <w:b w:val="0"/>
          <w:bCs/>
          <w:spacing w:val="-6"/>
          <w:kern w:val="2"/>
          <w:sz w:val="32"/>
          <w:szCs w:val="32"/>
          <w:lang w:eastAsia="zh-CN"/>
        </w:rPr>
        <w:t>“</w:t>
      </w:r>
      <w:r>
        <w:rPr>
          <w:rFonts w:hint="eastAsia" w:ascii="仿宋" w:hAnsi="仿宋" w:eastAsia="仿宋" w:cs="仿宋"/>
          <w:b w:val="0"/>
          <w:bCs/>
          <w:spacing w:val="-6"/>
          <w:kern w:val="2"/>
          <w:sz w:val="32"/>
          <w:szCs w:val="32"/>
          <w:lang w:val="en-US" w:eastAsia="zh-CN"/>
        </w:rPr>
        <w:t>（二）</w:t>
      </w:r>
      <w:r>
        <w:rPr>
          <w:rFonts w:hint="eastAsia" w:ascii="仿宋" w:hAnsi="仿宋" w:eastAsia="仿宋" w:cs="仿宋"/>
          <w:b w:val="0"/>
          <w:bCs w:val="0"/>
          <w:spacing w:val="-6"/>
          <w:kern w:val="2"/>
          <w:sz w:val="32"/>
          <w:szCs w:val="32"/>
          <w:lang w:val="en-US" w:eastAsia="zh-CN"/>
        </w:rPr>
        <w:t>发生重大资产调拨、划转以及单位分立、合并、改制、</w:t>
      </w:r>
      <w:r>
        <w:rPr>
          <w:rFonts w:hint="eastAsia" w:ascii="仿宋" w:hAnsi="仿宋" w:eastAsia="仿宋" w:cs="仿宋"/>
          <w:b w:val="0"/>
          <w:bCs w:val="0"/>
          <w:spacing w:val="0"/>
          <w:kern w:val="2"/>
          <w:sz w:val="32"/>
          <w:szCs w:val="32"/>
          <w:lang w:val="en-US" w:eastAsia="zh-CN"/>
        </w:rPr>
        <w:t>撤销、隶属关系改变等情形；</w:t>
      </w:r>
    </w:p>
    <w:p w14:paraId="1C6222B6">
      <w:pPr>
        <w:pStyle w:val="2"/>
        <w:keepNext w:val="0"/>
        <w:keepLines w:val="0"/>
        <w:pageBreakBefore w:val="0"/>
        <w:widowControl w:val="0"/>
        <w:kinsoku/>
        <w:overflowPunct/>
        <w:topLinePunct/>
        <w:autoSpaceDE/>
        <w:autoSpaceDN/>
        <w:bidi w:val="0"/>
        <w:spacing w:before="0" w:beforeLines="0" w:beforeAutospacing="0" w:after="0" w:afterLines="0" w:afterAutospacing="0" w:line="580" w:lineRule="exact"/>
        <w:ind w:left="0" w:leftChars="0" w:right="0" w:rightChars="0" w:firstLine="640" w:firstLineChars="200"/>
        <w:jc w:val="both"/>
        <w:rPr>
          <w:rFonts w:hint="eastAsia" w:ascii="仿宋" w:hAnsi="仿宋" w:eastAsia="仿宋" w:cs="仿宋"/>
          <w:b w:val="0"/>
          <w:bCs w:val="0"/>
          <w:spacing w:val="0"/>
          <w:kern w:val="2"/>
          <w:sz w:val="32"/>
          <w:szCs w:val="32"/>
          <w:lang w:val="en-US" w:eastAsia="zh-CN"/>
        </w:rPr>
      </w:pPr>
      <w:r>
        <w:rPr>
          <w:rFonts w:hint="eastAsia" w:ascii="仿宋" w:hAnsi="仿宋" w:eastAsia="仿宋" w:cs="仿宋"/>
          <w:b w:val="0"/>
          <w:bCs w:val="0"/>
          <w:spacing w:val="0"/>
          <w:kern w:val="2"/>
          <w:sz w:val="32"/>
          <w:szCs w:val="32"/>
          <w:lang w:val="en-US" w:eastAsia="zh-CN"/>
        </w:rPr>
        <w:t>“</w:t>
      </w:r>
      <w:r>
        <w:rPr>
          <w:rFonts w:hint="eastAsia" w:ascii="仿宋" w:hAnsi="仿宋" w:eastAsia="仿宋" w:cs="仿宋"/>
          <w:b w:val="0"/>
          <w:bCs/>
          <w:spacing w:val="0"/>
          <w:kern w:val="2"/>
          <w:sz w:val="32"/>
          <w:szCs w:val="32"/>
          <w:lang w:val="en-US" w:eastAsia="zh-CN"/>
        </w:rPr>
        <w:t>（三）</w:t>
      </w:r>
      <w:r>
        <w:rPr>
          <w:rFonts w:hint="eastAsia" w:ascii="仿宋" w:hAnsi="仿宋" w:eastAsia="仿宋" w:cs="仿宋"/>
          <w:b w:val="0"/>
          <w:bCs w:val="0"/>
          <w:spacing w:val="0"/>
          <w:kern w:val="2"/>
          <w:sz w:val="32"/>
          <w:szCs w:val="32"/>
          <w:lang w:val="en-US" w:eastAsia="zh-CN"/>
        </w:rPr>
        <w:t>因自然灾害等不可抗力造成资产毁损、灭失的；</w:t>
      </w:r>
    </w:p>
    <w:p w14:paraId="2ED3DA4D">
      <w:pPr>
        <w:pStyle w:val="2"/>
        <w:keepNext w:val="0"/>
        <w:keepLines w:val="0"/>
        <w:pageBreakBefore w:val="0"/>
        <w:widowControl w:val="0"/>
        <w:kinsoku/>
        <w:overflowPunct/>
        <w:topLinePunct/>
        <w:autoSpaceDE/>
        <w:autoSpaceDN/>
        <w:bidi w:val="0"/>
        <w:spacing w:before="0" w:beforeLines="0" w:beforeAutospacing="0" w:after="0" w:afterLines="0" w:afterAutospacing="0" w:line="580" w:lineRule="exact"/>
        <w:ind w:left="0" w:leftChars="0" w:right="0" w:rightChars="0" w:firstLine="640" w:firstLineChars="200"/>
        <w:jc w:val="both"/>
        <w:rPr>
          <w:rFonts w:hint="eastAsia" w:ascii="仿宋" w:hAnsi="仿宋" w:eastAsia="仿宋" w:cs="仿宋"/>
          <w:b w:val="0"/>
          <w:bCs w:val="0"/>
          <w:spacing w:val="0"/>
          <w:kern w:val="2"/>
          <w:sz w:val="32"/>
          <w:szCs w:val="32"/>
          <w:lang w:val="en-US" w:eastAsia="zh-CN"/>
        </w:rPr>
      </w:pPr>
      <w:r>
        <w:rPr>
          <w:rFonts w:hint="eastAsia" w:ascii="仿宋" w:hAnsi="仿宋" w:eastAsia="仿宋" w:cs="仿宋"/>
          <w:b w:val="0"/>
          <w:bCs/>
          <w:spacing w:val="0"/>
          <w:kern w:val="2"/>
          <w:sz w:val="32"/>
          <w:szCs w:val="32"/>
          <w:lang w:eastAsia="zh-CN"/>
        </w:rPr>
        <w:t>“</w:t>
      </w:r>
      <w:r>
        <w:rPr>
          <w:rFonts w:hint="eastAsia" w:ascii="仿宋" w:hAnsi="仿宋" w:eastAsia="仿宋" w:cs="仿宋"/>
          <w:b w:val="0"/>
          <w:bCs/>
          <w:spacing w:val="0"/>
          <w:kern w:val="2"/>
          <w:sz w:val="32"/>
          <w:szCs w:val="32"/>
          <w:lang w:val="en-US" w:eastAsia="zh-CN"/>
        </w:rPr>
        <w:t>（四）</w:t>
      </w:r>
      <w:r>
        <w:rPr>
          <w:rFonts w:hint="eastAsia" w:ascii="仿宋" w:hAnsi="仿宋" w:eastAsia="仿宋" w:cs="仿宋"/>
          <w:b w:val="0"/>
          <w:bCs w:val="0"/>
          <w:spacing w:val="0"/>
          <w:kern w:val="2"/>
          <w:sz w:val="32"/>
          <w:szCs w:val="32"/>
          <w:lang w:val="en-US" w:eastAsia="zh-CN"/>
        </w:rPr>
        <w:t>会计信息严重失真的；</w:t>
      </w:r>
    </w:p>
    <w:p w14:paraId="436F58DB">
      <w:pPr>
        <w:pStyle w:val="2"/>
        <w:keepNext w:val="0"/>
        <w:keepLines w:val="0"/>
        <w:pageBreakBefore w:val="0"/>
        <w:widowControl w:val="0"/>
        <w:kinsoku/>
        <w:overflowPunct/>
        <w:topLinePunct/>
        <w:autoSpaceDE/>
        <w:autoSpaceDN/>
        <w:bidi w:val="0"/>
        <w:spacing w:before="0" w:beforeLines="0" w:beforeAutospacing="0" w:after="0" w:afterLines="0" w:afterAutospacing="0" w:line="580" w:lineRule="exact"/>
        <w:ind w:left="0" w:leftChars="0" w:right="0" w:rightChars="0" w:firstLine="616" w:firstLineChars="200"/>
        <w:jc w:val="both"/>
        <w:rPr>
          <w:rFonts w:hint="eastAsia" w:ascii="仿宋" w:hAnsi="仿宋" w:eastAsia="仿宋" w:cs="仿宋"/>
          <w:b w:val="0"/>
          <w:bCs w:val="0"/>
          <w:spacing w:val="0"/>
          <w:kern w:val="2"/>
          <w:sz w:val="32"/>
          <w:szCs w:val="32"/>
          <w:lang w:val="en-US" w:eastAsia="zh-CN"/>
        </w:rPr>
      </w:pPr>
      <w:r>
        <w:rPr>
          <w:rFonts w:hint="eastAsia" w:ascii="仿宋" w:hAnsi="仿宋" w:eastAsia="仿宋" w:cs="仿宋"/>
          <w:b w:val="0"/>
          <w:bCs/>
          <w:spacing w:val="-6"/>
          <w:kern w:val="2"/>
          <w:sz w:val="32"/>
          <w:szCs w:val="32"/>
          <w:lang w:eastAsia="zh-CN"/>
        </w:rPr>
        <w:t>“</w:t>
      </w:r>
      <w:r>
        <w:rPr>
          <w:rFonts w:hint="eastAsia" w:ascii="仿宋" w:hAnsi="仿宋" w:eastAsia="仿宋" w:cs="仿宋"/>
          <w:b w:val="0"/>
          <w:bCs/>
          <w:spacing w:val="-6"/>
          <w:kern w:val="2"/>
          <w:sz w:val="32"/>
          <w:szCs w:val="32"/>
          <w:lang w:val="en-US" w:eastAsia="zh-CN"/>
        </w:rPr>
        <w:t>（五）</w:t>
      </w:r>
      <w:r>
        <w:rPr>
          <w:rFonts w:hint="eastAsia" w:ascii="仿宋" w:hAnsi="仿宋" w:eastAsia="仿宋" w:cs="仿宋"/>
          <w:b w:val="0"/>
          <w:bCs w:val="0"/>
          <w:spacing w:val="-6"/>
          <w:kern w:val="2"/>
          <w:sz w:val="32"/>
          <w:szCs w:val="32"/>
          <w:lang w:val="en-US" w:eastAsia="zh-CN"/>
        </w:rPr>
        <w:t>国家统一的会计制度发生重大变更，涉及资产核算方</w:t>
      </w:r>
      <w:r>
        <w:rPr>
          <w:rFonts w:hint="eastAsia" w:ascii="仿宋" w:hAnsi="仿宋" w:eastAsia="仿宋" w:cs="仿宋"/>
          <w:b w:val="0"/>
          <w:bCs w:val="0"/>
          <w:spacing w:val="0"/>
          <w:kern w:val="2"/>
          <w:sz w:val="32"/>
          <w:szCs w:val="32"/>
          <w:lang w:val="en-US" w:eastAsia="zh-CN"/>
        </w:rPr>
        <w:t>法发生重要变化的；</w:t>
      </w:r>
    </w:p>
    <w:p w14:paraId="4FD258A7">
      <w:pPr>
        <w:pStyle w:val="2"/>
        <w:keepNext w:val="0"/>
        <w:keepLines w:val="0"/>
        <w:pageBreakBefore w:val="0"/>
        <w:widowControl w:val="0"/>
        <w:kinsoku/>
        <w:overflowPunct/>
        <w:topLinePunct/>
        <w:autoSpaceDE/>
        <w:autoSpaceDN/>
        <w:bidi w:val="0"/>
        <w:spacing w:before="0" w:beforeLines="0" w:beforeAutospacing="0" w:after="0" w:afterLines="0" w:afterAutospacing="0" w:line="580" w:lineRule="exact"/>
        <w:ind w:left="0" w:leftChars="0" w:right="0" w:rightChars="0" w:firstLine="640" w:firstLineChars="200"/>
        <w:jc w:val="both"/>
        <w:rPr>
          <w:rFonts w:hint="eastAsia" w:ascii="仿宋" w:hAnsi="仿宋" w:eastAsia="仿宋" w:cs="仿宋"/>
          <w:b w:val="0"/>
          <w:bCs w:val="0"/>
          <w:spacing w:val="0"/>
          <w:kern w:val="2"/>
          <w:sz w:val="32"/>
          <w:szCs w:val="32"/>
          <w:lang w:val="en-US" w:eastAsia="zh-CN"/>
        </w:rPr>
      </w:pPr>
      <w:r>
        <w:rPr>
          <w:rFonts w:hint="eastAsia" w:ascii="仿宋" w:hAnsi="仿宋" w:eastAsia="仿宋" w:cs="仿宋"/>
          <w:b w:val="0"/>
          <w:bCs/>
          <w:spacing w:val="0"/>
          <w:kern w:val="2"/>
          <w:sz w:val="32"/>
          <w:szCs w:val="32"/>
          <w:lang w:eastAsia="zh-CN"/>
        </w:rPr>
        <w:t>“</w:t>
      </w:r>
      <w:r>
        <w:rPr>
          <w:rFonts w:hint="eastAsia" w:ascii="仿宋" w:hAnsi="仿宋" w:eastAsia="仿宋" w:cs="仿宋"/>
          <w:b w:val="0"/>
          <w:bCs/>
          <w:spacing w:val="0"/>
          <w:kern w:val="2"/>
          <w:sz w:val="32"/>
          <w:szCs w:val="32"/>
          <w:lang w:val="en-US" w:eastAsia="zh-CN"/>
        </w:rPr>
        <w:t>（六）</w:t>
      </w:r>
      <w:r>
        <w:rPr>
          <w:rFonts w:hint="eastAsia" w:ascii="仿宋" w:hAnsi="仿宋" w:eastAsia="仿宋" w:cs="仿宋"/>
          <w:b w:val="0"/>
          <w:bCs w:val="0"/>
          <w:spacing w:val="0"/>
          <w:kern w:val="2"/>
          <w:sz w:val="32"/>
          <w:szCs w:val="32"/>
          <w:lang w:val="en-US" w:eastAsia="zh-CN"/>
        </w:rPr>
        <w:t>其他应当进行资产清查的情形。”</w:t>
      </w:r>
    </w:p>
    <w:p w14:paraId="513F135F">
      <w:pPr>
        <w:pStyle w:val="48"/>
        <w:keepNext w:val="0"/>
        <w:keepLines w:val="0"/>
        <w:pageBreakBefore w:val="0"/>
        <w:widowControl w:val="0"/>
        <w:kinsoku/>
        <w:overflowPunct/>
        <w:topLinePunct/>
        <w:autoSpaceDE/>
        <w:autoSpaceDN/>
        <w:bidi w:val="0"/>
        <w:spacing w:before="0" w:beforeLines="0" w:after="0" w:afterLines="0" w:line="580" w:lineRule="exact"/>
        <w:ind w:left="0" w:leftChars="0" w:right="0" w:rightChars="0"/>
        <w:jc w:val="both"/>
        <w:rPr>
          <w:rFonts w:hint="default" w:ascii="Times New Roman" w:hAnsi="Times New Roman" w:eastAsia="方正小标宋简体" w:cs="Times New Roman"/>
          <w:color w:val="000000"/>
          <w:spacing w:val="0"/>
          <w:kern w:val="2"/>
          <w:sz w:val="32"/>
          <w:szCs w:val="36"/>
        </w:rPr>
      </w:pPr>
    </w:p>
    <w:p w14:paraId="7F711863">
      <w:pPr>
        <w:pStyle w:val="48"/>
        <w:keepNext w:val="0"/>
        <w:keepLines w:val="0"/>
        <w:pageBreakBefore w:val="0"/>
        <w:widowControl w:val="0"/>
        <w:kinsoku/>
        <w:overflowPunct/>
        <w:topLinePunct/>
        <w:autoSpaceDE/>
        <w:autoSpaceDN/>
        <w:bidi w:val="0"/>
        <w:spacing w:before="0" w:beforeLines="0" w:after="0" w:afterLines="0" w:line="580" w:lineRule="exact"/>
        <w:ind w:left="0" w:leftChars="0" w:right="0" w:rightChars="0"/>
        <w:jc w:val="both"/>
        <w:rPr>
          <w:rFonts w:hint="default" w:ascii="Times New Roman" w:hAnsi="Times New Roman" w:eastAsia="黑体" w:cs="Times New Roman"/>
          <w:color w:val="000000"/>
          <w:spacing w:val="0"/>
          <w:kern w:val="2"/>
          <w:sz w:val="32"/>
          <w:szCs w:val="32"/>
          <w:lang w:eastAsia="zh-CN"/>
        </w:rPr>
      </w:pPr>
    </w:p>
    <w:p w14:paraId="12619C8F">
      <w:pPr>
        <w:pStyle w:val="48"/>
        <w:keepNext w:val="0"/>
        <w:keepLines w:val="0"/>
        <w:pageBreakBefore w:val="0"/>
        <w:widowControl w:val="0"/>
        <w:kinsoku/>
        <w:overflowPunct/>
        <w:topLinePunct/>
        <w:autoSpaceDE/>
        <w:autoSpaceDN/>
        <w:bidi w:val="0"/>
        <w:spacing w:before="0" w:beforeLines="0" w:after="0" w:afterLines="0" w:line="580" w:lineRule="exact"/>
        <w:ind w:left="0" w:leftChars="0" w:right="0" w:rightChars="0"/>
        <w:jc w:val="both"/>
        <w:rPr>
          <w:rFonts w:hint="default" w:ascii="Times New Roman" w:hAnsi="Times New Roman" w:eastAsia="黑体" w:cs="Times New Roman"/>
          <w:color w:val="000000"/>
          <w:spacing w:val="0"/>
          <w:kern w:val="2"/>
          <w:sz w:val="32"/>
          <w:szCs w:val="32"/>
          <w:lang w:eastAsia="zh-CN"/>
        </w:rPr>
      </w:pPr>
    </w:p>
    <w:p w14:paraId="4BB36CD3">
      <w:pPr>
        <w:pStyle w:val="48"/>
        <w:keepNext w:val="0"/>
        <w:keepLines w:val="0"/>
        <w:pageBreakBefore w:val="0"/>
        <w:widowControl w:val="0"/>
        <w:kinsoku/>
        <w:overflowPunct/>
        <w:topLinePunct/>
        <w:autoSpaceDE/>
        <w:autoSpaceDN/>
        <w:bidi w:val="0"/>
        <w:spacing w:before="0" w:beforeLines="0" w:after="0" w:afterLines="0" w:line="580" w:lineRule="exact"/>
        <w:ind w:left="0" w:leftChars="0" w:right="0" w:rightChars="0"/>
        <w:jc w:val="both"/>
        <w:rPr>
          <w:rFonts w:hint="default" w:ascii="Times New Roman" w:hAnsi="Times New Roman" w:eastAsia="黑体" w:cs="Times New Roman"/>
          <w:color w:val="000000"/>
          <w:spacing w:val="0"/>
          <w:kern w:val="2"/>
          <w:sz w:val="32"/>
          <w:szCs w:val="32"/>
          <w:lang w:eastAsia="zh-CN"/>
        </w:rPr>
      </w:pPr>
    </w:p>
    <w:p w14:paraId="1E825207">
      <w:pPr>
        <w:pStyle w:val="48"/>
        <w:keepNext w:val="0"/>
        <w:keepLines w:val="0"/>
        <w:pageBreakBefore w:val="0"/>
        <w:widowControl w:val="0"/>
        <w:kinsoku/>
        <w:overflowPunct/>
        <w:topLinePunct/>
        <w:autoSpaceDE/>
        <w:autoSpaceDN/>
        <w:bidi w:val="0"/>
        <w:spacing w:before="0" w:beforeLines="0" w:after="0" w:afterLines="0" w:line="580" w:lineRule="exact"/>
        <w:ind w:left="0" w:leftChars="0" w:right="0" w:rightChars="0"/>
        <w:jc w:val="both"/>
        <w:rPr>
          <w:rFonts w:hint="eastAsia" w:ascii="黑体" w:hAnsi="黑体" w:eastAsia="黑体" w:cs="黑体"/>
          <w:color w:val="000000"/>
          <w:spacing w:val="0"/>
          <w:kern w:val="2"/>
          <w:sz w:val="32"/>
          <w:szCs w:val="32"/>
          <w:lang w:val="en" w:eastAsia="zh-CN"/>
        </w:rPr>
      </w:pPr>
      <w:r>
        <w:rPr>
          <w:rFonts w:hint="default" w:ascii="Times New Roman" w:hAnsi="Times New Roman" w:eastAsia="黑体" w:cs="Times New Roman"/>
          <w:color w:val="000000"/>
          <w:spacing w:val="0"/>
          <w:kern w:val="2"/>
          <w:sz w:val="32"/>
          <w:szCs w:val="32"/>
          <w:lang w:eastAsia="zh-CN"/>
        </w:rPr>
        <w:br w:type="page"/>
      </w:r>
      <w:r>
        <w:rPr>
          <w:rFonts w:hint="eastAsia" w:ascii="黑体" w:hAnsi="黑体" w:eastAsia="黑体" w:cs="黑体"/>
          <w:color w:val="000000"/>
          <w:spacing w:val="0"/>
          <w:kern w:val="2"/>
          <w:sz w:val="32"/>
          <w:szCs w:val="32"/>
          <w:lang w:eastAsia="zh-CN"/>
        </w:rPr>
        <w:t>附件</w:t>
      </w:r>
      <w:r>
        <w:rPr>
          <w:rFonts w:hint="eastAsia" w:ascii="黑体" w:hAnsi="黑体" w:eastAsia="黑体" w:cs="黑体"/>
          <w:color w:val="000000"/>
          <w:spacing w:val="0"/>
          <w:kern w:val="2"/>
          <w:sz w:val="32"/>
          <w:szCs w:val="32"/>
          <w:lang w:val="en" w:eastAsia="zh-CN"/>
        </w:rPr>
        <w:t>2</w:t>
      </w:r>
    </w:p>
    <w:p w14:paraId="704E3F05">
      <w:pPr>
        <w:pStyle w:val="48"/>
        <w:keepNext w:val="0"/>
        <w:keepLines w:val="0"/>
        <w:pageBreakBefore w:val="0"/>
        <w:widowControl w:val="0"/>
        <w:kinsoku/>
        <w:overflowPunct/>
        <w:topLinePunct/>
        <w:autoSpaceDE/>
        <w:autoSpaceDN/>
        <w:bidi w:val="0"/>
        <w:spacing w:before="0" w:beforeLines="0" w:after="0" w:afterLines="0" w:line="580" w:lineRule="exact"/>
        <w:ind w:left="0" w:leftChars="0" w:right="0" w:rightChars="0"/>
        <w:jc w:val="both"/>
        <w:rPr>
          <w:rFonts w:hint="default" w:ascii="Times New Roman" w:hAnsi="Times New Roman" w:eastAsia="黑体" w:cs="Times New Roman"/>
          <w:color w:val="000000"/>
          <w:spacing w:val="0"/>
          <w:kern w:val="2"/>
          <w:sz w:val="32"/>
          <w:szCs w:val="32"/>
          <w:lang w:val="en" w:eastAsia="zh-CN"/>
        </w:rPr>
      </w:pPr>
    </w:p>
    <w:p w14:paraId="527F603C">
      <w:pPr>
        <w:pStyle w:val="48"/>
        <w:keepNext w:val="0"/>
        <w:keepLines w:val="0"/>
        <w:pageBreakBefore w:val="0"/>
        <w:widowControl w:val="0"/>
        <w:kinsoku/>
        <w:overflowPunct/>
        <w:topLinePunct/>
        <w:autoSpaceDE/>
        <w:autoSpaceDN/>
        <w:bidi w:val="0"/>
        <w:spacing w:before="0" w:beforeLines="0" w:after="0" w:afterLines="0" w:line="580" w:lineRule="exact"/>
        <w:ind w:left="0" w:leftChars="0" w:right="0" w:rightChars="0" w:firstLine="0" w:firstLineChars="0"/>
        <w:jc w:val="center"/>
        <w:rPr>
          <w:rFonts w:hint="default" w:ascii="Times New Roman" w:hAnsi="Times New Roman" w:eastAsia="仿宋_GB2312" w:cs="Times New Roman"/>
          <w:spacing w:val="0"/>
          <w:kern w:val="2"/>
          <w:sz w:val="44"/>
          <w:szCs w:val="36"/>
          <w:lang w:val="en-US" w:eastAsia="zh-CN"/>
        </w:rPr>
      </w:pPr>
      <w:r>
        <w:rPr>
          <w:rFonts w:hint="default" w:ascii="Times New Roman" w:hAnsi="Times New Roman" w:eastAsia="方正小标宋简体" w:cs="Times New Roman"/>
          <w:color w:val="000000"/>
          <w:spacing w:val="0"/>
          <w:kern w:val="2"/>
          <w:sz w:val="44"/>
          <w:szCs w:val="36"/>
        </w:rPr>
        <w:t>自治区人民政府决定废止的政府规章</w:t>
      </w:r>
    </w:p>
    <w:p w14:paraId="47B2FAE0">
      <w:pPr>
        <w:pStyle w:val="48"/>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5"/>
        <w:jc w:val="both"/>
        <w:textAlignment w:val="auto"/>
        <w:rPr>
          <w:rFonts w:hint="default" w:ascii="Times New Roman" w:hAnsi="Times New Roman" w:eastAsia="宋体" w:cs="Times New Roman"/>
          <w:b w:val="0"/>
          <w:bCs w:val="0"/>
          <w:color w:val="000000"/>
          <w:spacing w:val="0"/>
          <w:kern w:val="2"/>
          <w:sz w:val="21"/>
          <w:szCs w:val="21"/>
          <w:lang w:val="en-US" w:eastAsia="zh-CN"/>
        </w:rPr>
      </w:pPr>
    </w:p>
    <w:p w14:paraId="38750630">
      <w:pPr>
        <w:pStyle w:val="48"/>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pacing w:val="0"/>
          <w:kern w:val="2"/>
          <w:sz w:val="32"/>
          <w:szCs w:val="32"/>
          <w:lang w:val="zh-CN"/>
        </w:rPr>
      </w:pPr>
      <w:r>
        <w:rPr>
          <w:rFonts w:hint="eastAsia" w:ascii="仿宋" w:hAnsi="仿宋" w:eastAsia="仿宋" w:cs="仿宋"/>
          <w:b w:val="0"/>
          <w:bCs w:val="0"/>
          <w:color w:val="000000"/>
          <w:spacing w:val="0"/>
          <w:kern w:val="2"/>
          <w:sz w:val="32"/>
          <w:szCs w:val="32"/>
          <w:lang w:val="en-US" w:eastAsia="zh-CN"/>
        </w:rPr>
        <w:t>一、</w:t>
      </w:r>
      <w:r>
        <w:rPr>
          <w:rFonts w:hint="eastAsia" w:ascii="仿宋" w:hAnsi="仿宋" w:eastAsia="仿宋" w:cs="仿宋"/>
          <w:spacing w:val="0"/>
          <w:kern w:val="2"/>
          <w:sz w:val="32"/>
          <w:szCs w:val="32"/>
          <w:lang w:val="en-US" w:eastAsia="zh-CN"/>
        </w:rPr>
        <w:t>《内蒙古自治区城镇绿化管理办法》（2015年3月27日内蒙古自治区人民政府令第210号公布）</w:t>
      </w:r>
    </w:p>
    <w:p w14:paraId="6F1017D4">
      <w:pPr>
        <w:pStyle w:val="2"/>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spacing w:val="0"/>
          <w:kern w:val="2"/>
          <w:sz w:val="32"/>
          <w:szCs w:val="32"/>
          <w:lang w:val="en-US" w:eastAsia="zh-CN"/>
        </w:rPr>
      </w:pPr>
      <w:r>
        <w:rPr>
          <w:rFonts w:hint="eastAsia" w:ascii="仿宋" w:hAnsi="仿宋" w:eastAsia="仿宋" w:cs="仿宋"/>
          <w:b w:val="0"/>
          <w:bCs w:val="0"/>
          <w:spacing w:val="0"/>
          <w:kern w:val="2"/>
          <w:sz w:val="32"/>
          <w:szCs w:val="32"/>
          <w:lang w:val="en-US" w:eastAsia="zh-CN"/>
        </w:rPr>
        <w:t>二、《内蒙古自治区石油和化工建设工程质量监督管理办法》（2017年12月13日内蒙古自治区人民政府令第228号公布，根据2020年5月29日内蒙古自治区人民政府令第246号修正）</w:t>
      </w:r>
    </w:p>
    <w:p w14:paraId="078151CA">
      <w:pPr>
        <w:keepNext w:val="0"/>
        <w:keepLines w:val="0"/>
        <w:pageBreakBefore w:val="0"/>
        <w:widowControl w:val="0"/>
        <w:kinsoku/>
        <w:wordWrap/>
        <w:overflowPunct/>
        <w:topLinePunct/>
        <w:autoSpaceDE/>
        <w:autoSpaceDN/>
        <w:bidi w:val="0"/>
        <w:spacing w:before="0" w:beforeLines="0" w:after="0" w:afterLines="0" w:line="580" w:lineRule="exact"/>
        <w:ind w:left="0" w:leftChars="0" w:right="0" w:rightChars="0"/>
        <w:jc w:val="both"/>
        <w:outlineLvl w:val="9"/>
        <w:rPr>
          <w:rFonts w:hint="default" w:ascii="Times New Roman" w:hAnsi="Times New Roman" w:eastAsia="仿宋_GB2312" w:cs="Times New Roman"/>
          <w:b w:val="0"/>
          <w:bCs w:val="0"/>
          <w:spacing w:val="0"/>
          <w:kern w:val="2"/>
          <w:sz w:val="32"/>
          <w:szCs w:val="32"/>
          <w:lang w:val="en-US" w:eastAsia="zh-CN"/>
        </w:rPr>
      </w:pPr>
    </w:p>
    <w:p w14:paraId="0D822BDF">
      <w:pPr>
        <w:pStyle w:val="9"/>
        <w:keepNext w:val="0"/>
        <w:keepLines w:val="0"/>
        <w:pageBreakBefore w:val="0"/>
        <w:widowControl w:val="0"/>
        <w:kinsoku/>
        <w:wordWrap/>
        <w:overflowPunct/>
        <w:topLinePunct/>
        <w:autoSpaceDE/>
        <w:autoSpaceDN/>
        <w:bidi w:val="0"/>
        <w:spacing w:before="0" w:beforeLines="0" w:after="0" w:afterLines="0" w:line="580" w:lineRule="exact"/>
        <w:ind w:left="0" w:leftChars="0" w:right="0" w:rightChars="0"/>
        <w:jc w:val="both"/>
        <w:outlineLvl w:val="9"/>
        <w:rPr>
          <w:rFonts w:hint="default" w:ascii="Times New Roman" w:hAnsi="Times New Roman" w:eastAsia="仿宋_GB2312" w:cs="Times New Roman"/>
          <w:b w:val="0"/>
          <w:bCs w:val="0"/>
          <w:spacing w:val="0"/>
          <w:kern w:val="2"/>
          <w:sz w:val="32"/>
          <w:szCs w:val="32"/>
          <w:lang w:val="en-US" w:eastAsia="zh-CN"/>
        </w:rPr>
      </w:pPr>
    </w:p>
    <w:p w14:paraId="5148194D">
      <w:pPr>
        <w:keepNext w:val="0"/>
        <w:keepLines w:val="0"/>
        <w:pageBreakBefore w:val="0"/>
        <w:widowControl w:val="0"/>
        <w:kinsoku/>
        <w:wordWrap/>
        <w:overflowPunct/>
        <w:topLinePunct/>
        <w:autoSpaceDE/>
        <w:autoSpaceDN/>
        <w:bidi w:val="0"/>
        <w:spacing w:before="0" w:beforeLines="0" w:after="0" w:afterLines="0" w:line="580" w:lineRule="exact"/>
        <w:ind w:left="0" w:leftChars="0" w:right="0" w:rightChars="0"/>
        <w:jc w:val="both"/>
        <w:outlineLvl w:val="9"/>
        <w:rPr>
          <w:rFonts w:hint="default" w:ascii="Times New Roman" w:hAnsi="Times New Roman" w:eastAsia="仿宋_GB2312" w:cs="Times New Roman"/>
          <w:b w:val="0"/>
          <w:bCs w:val="0"/>
          <w:spacing w:val="0"/>
          <w:kern w:val="2"/>
          <w:sz w:val="32"/>
          <w:szCs w:val="32"/>
          <w:lang w:val="en-US" w:eastAsia="zh-CN"/>
        </w:rPr>
      </w:pPr>
    </w:p>
    <w:p w14:paraId="4681C996">
      <w:pPr>
        <w:pStyle w:val="9"/>
        <w:keepNext w:val="0"/>
        <w:keepLines w:val="0"/>
        <w:pageBreakBefore w:val="0"/>
        <w:widowControl w:val="0"/>
        <w:kinsoku/>
        <w:wordWrap/>
        <w:overflowPunct/>
        <w:topLinePunct/>
        <w:autoSpaceDE/>
        <w:autoSpaceDN/>
        <w:bidi w:val="0"/>
        <w:spacing w:before="0" w:beforeLines="0" w:after="0" w:afterLines="0" w:line="580" w:lineRule="exact"/>
        <w:ind w:left="0" w:leftChars="0" w:right="0" w:rightChars="0"/>
        <w:jc w:val="both"/>
        <w:outlineLvl w:val="9"/>
        <w:rPr>
          <w:rFonts w:hint="default" w:ascii="Times New Roman" w:hAnsi="Times New Roman" w:eastAsia="仿宋_GB2312" w:cs="Times New Roman"/>
          <w:b w:val="0"/>
          <w:bCs w:val="0"/>
          <w:spacing w:val="0"/>
          <w:kern w:val="2"/>
          <w:sz w:val="32"/>
          <w:szCs w:val="32"/>
          <w:lang w:val="en-US" w:eastAsia="zh-CN"/>
        </w:rPr>
      </w:pPr>
    </w:p>
    <w:p w14:paraId="63B83B8B">
      <w:pPr>
        <w:keepNext w:val="0"/>
        <w:keepLines w:val="0"/>
        <w:pageBreakBefore w:val="0"/>
        <w:widowControl w:val="0"/>
        <w:kinsoku/>
        <w:wordWrap/>
        <w:overflowPunct/>
        <w:topLinePunct/>
        <w:autoSpaceDE/>
        <w:autoSpaceDN/>
        <w:bidi w:val="0"/>
        <w:spacing w:before="0" w:beforeLines="0" w:after="0" w:afterLines="0" w:line="580" w:lineRule="exact"/>
        <w:ind w:left="0" w:leftChars="0" w:right="0" w:rightChars="0"/>
        <w:jc w:val="both"/>
        <w:outlineLvl w:val="9"/>
        <w:rPr>
          <w:rFonts w:hint="default" w:ascii="Times New Roman" w:hAnsi="Times New Roman" w:eastAsia="仿宋_GB2312" w:cs="Times New Roman"/>
          <w:b w:val="0"/>
          <w:bCs w:val="0"/>
          <w:spacing w:val="0"/>
          <w:kern w:val="2"/>
          <w:sz w:val="32"/>
          <w:szCs w:val="32"/>
          <w:lang w:val="en-US" w:eastAsia="zh-CN"/>
        </w:rPr>
      </w:pPr>
    </w:p>
    <w:p w14:paraId="3BD1661D">
      <w:pPr>
        <w:pStyle w:val="9"/>
        <w:keepNext w:val="0"/>
        <w:keepLines w:val="0"/>
        <w:pageBreakBefore w:val="0"/>
        <w:widowControl w:val="0"/>
        <w:kinsoku/>
        <w:wordWrap/>
        <w:overflowPunct/>
        <w:topLinePunct/>
        <w:autoSpaceDE/>
        <w:autoSpaceDN/>
        <w:bidi w:val="0"/>
        <w:spacing w:before="0" w:beforeLines="0" w:after="0" w:afterLines="0" w:line="580" w:lineRule="exact"/>
        <w:ind w:left="0" w:leftChars="0" w:right="0" w:rightChars="0"/>
        <w:jc w:val="both"/>
        <w:outlineLvl w:val="9"/>
        <w:rPr>
          <w:rFonts w:hint="default" w:ascii="Times New Roman" w:hAnsi="Times New Roman" w:eastAsia="仿宋_GB2312" w:cs="Times New Roman"/>
          <w:b w:val="0"/>
          <w:bCs w:val="0"/>
          <w:spacing w:val="0"/>
          <w:kern w:val="2"/>
          <w:sz w:val="32"/>
          <w:szCs w:val="32"/>
          <w:lang w:val="en-US" w:eastAsia="zh-CN"/>
        </w:rPr>
      </w:pPr>
    </w:p>
    <w:p w14:paraId="48B8DD62">
      <w:pPr>
        <w:keepNext w:val="0"/>
        <w:keepLines w:val="0"/>
        <w:pageBreakBefore w:val="0"/>
        <w:widowControl w:val="0"/>
        <w:kinsoku/>
        <w:wordWrap/>
        <w:overflowPunct/>
        <w:topLinePunct/>
        <w:autoSpaceDE/>
        <w:autoSpaceDN/>
        <w:bidi w:val="0"/>
        <w:spacing w:before="0" w:beforeLines="0" w:after="0" w:afterLines="0" w:line="580" w:lineRule="exact"/>
        <w:ind w:left="0" w:leftChars="0" w:right="0" w:rightChars="0"/>
        <w:jc w:val="both"/>
        <w:outlineLvl w:val="9"/>
        <w:rPr>
          <w:rFonts w:hint="default" w:ascii="Times New Roman" w:hAnsi="Times New Roman" w:eastAsia="仿宋_GB2312" w:cs="Times New Roman"/>
          <w:b w:val="0"/>
          <w:bCs w:val="0"/>
          <w:spacing w:val="0"/>
          <w:kern w:val="2"/>
          <w:sz w:val="32"/>
          <w:szCs w:val="32"/>
          <w:lang w:val="en-US" w:eastAsia="zh-CN"/>
        </w:rPr>
      </w:pPr>
    </w:p>
    <w:p w14:paraId="6802B39C">
      <w:pPr>
        <w:pStyle w:val="6"/>
        <w:keepNext w:val="0"/>
        <w:keepLines w:val="0"/>
        <w:pageBreakBefore w:val="0"/>
        <w:widowControl w:val="0"/>
        <w:wordWrap/>
        <w:overflowPunct/>
        <w:topLinePunct/>
        <w:bidi w:val="0"/>
        <w:spacing w:before="0" w:beforeLines="0" w:after="0" w:afterLines="0" w:line="580" w:lineRule="exact"/>
        <w:ind w:left="0" w:leftChars="0" w:right="0" w:rightChars="0"/>
        <w:jc w:val="both"/>
        <w:outlineLvl w:val="9"/>
        <w:rPr>
          <w:rFonts w:hint="default" w:ascii="Times New Roman" w:hAnsi="Times New Roman" w:eastAsia="仿宋_GB2312" w:cs="Times New Roman"/>
          <w:b w:val="0"/>
          <w:bCs w:val="0"/>
          <w:spacing w:val="0"/>
          <w:kern w:val="2"/>
          <w:sz w:val="32"/>
          <w:szCs w:val="32"/>
          <w:lang w:val="en-US" w:eastAsia="zh-CN"/>
        </w:rPr>
      </w:pPr>
    </w:p>
    <w:p w14:paraId="24A945E4">
      <w:pPr>
        <w:pStyle w:val="6"/>
        <w:keepNext w:val="0"/>
        <w:keepLines w:val="0"/>
        <w:pageBreakBefore w:val="0"/>
        <w:widowControl w:val="0"/>
        <w:wordWrap/>
        <w:overflowPunct/>
        <w:topLinePunct/>
        <w:bidi w:val="0"/>
        <w:spacing w:before="0" w:beforeLines="0" w:after="0" w:afterLines="0" w:line="580" w:lineRule="exact"/>
        <w:ind w:left="0" w:leftChars="0" w:right="0" w:rightChars="0"/>
        <w:jc w:val="both"/>
        <w:outlineLvl w:val="9"/>
        <w:rPr>
          <w:rFonts w:hint="default" w:ascii="Times New Roman" w:hAnsi="Times New Roman" w:eastAsia="仿宋_GB2312" w:cs="Times New Roman"/>
          <w:b w:val="0"/>
          <w:bCs w:val="0"/>
          <w:spacing w:val="0"/>
          <w:kern w:val="2"/>
          <w:sz w:val="32"/>
          <w:szCs w:val="32"/>
          <w:lang w:val="en-US" w:eastAsia="zh-CN"/>
        </w:rPr>
      </w:pPr>
    </w:p>
    <w:p w14:paraId="7B782559">
      <w:pPr>
        <w:pStyle w:val="6"/>
        <w:keepNext w:val="0"/>
        <w:keepLines w:val="0"/>
        <w:pageBreakBefore w:val="0"/>
        <w:widowControl w:val="0"/>
        <w:wordWrap/>
        <w:overflowPunct/>
        <w:topLinePunct/>
        <w:bidi w:val="0"/>
        <w:spacing w:before="0" w:beforeLines="0" w:after="0" w:afterLines="0" w:line="580" w:lineRule="exact"/>
        <w:ind w:left="0" w:leftChars="0" w:right="0" w:rightChars="0"/>
        <w:jc w:val="both"/>
        <w:rPr>
          <w:rFonts w:hint="default" w:ascii="Times New Roman" w:hAnsi="Times New Roman" w:eastAsia="仿宋_GB2312" w:cs="Times New Roman"/>
          <w:b w:val="0"/>
          <w:bCs w:val="0"/>
          <w:spacing w:val="0"/>
          <w:kern w:val="2"/>
          <w:sz w:val="32"/>
          <w:szCs w:val="32"/>
          <w:lang w:val="en-US" w:eastAsia="zh-CN"/>
        </w:rPr>
      </w:pPr>
    </w:p>
    <w:p w14:paraId="4408C9D8">
      <w:pPr>
        <w:keepNext w:val="0"/>
        <w:keepLines w:val="0"/>
        <w:pageBreakBefore w:val="0"/>
        <w:widowControl w:val="0"/>
        <w:wordWrap/>
        <w:overflowPunct/>
        <w:topLinePunct/>
        <w:bidi w:val="0"/>
        <w:spacing w:before="0" w:beforeLines="0" w:after="0" w:afterLines="0" w:line="580" w:lineRule="exact"/>
        <w:ind w:left="0" w:leftChars="0" w:right="0" w:rightChars="0"/>
        <w:jc w:val="both"/>
        <w:rPr>
          <w:rFonts w:hint="default"/>
          <w:lang w:val="en-US" w:eastAsia="zh-CN"/>
        </w:rPr>
      </w:pPr>
    </w:p>
    <w:p w14:paraId="2EC0BF00">
      <w:pPr>
        <w:pStyle w:val="6"/>
        <w:keepNext w:val="0"/>
        <w:keepLines w:val="0"/>
        <w:pageBreakBefore w:val="0"/>
        <w:widowControl w:val="0"/>
        <w:wordWrap/>
        <w:overflowPunct/>
        <w:topLinePunct/>
        <w:bidi w:val="0"/>
        <w:spacing w:before="0" w:beforeLines="0" w:after="0" w:afterLines="0" w:line="580" w:lineRule="exact"/>
        <w:ind w:left="0" w:leftChars="0" w:right="0" w:rightChars="0"/>
        <w:jc w:val="both"/>
        <w:rPr>
          <w:rFonts w:hint="default" w:ascii="Times New Roman" w:hAnsi="Times New Roman" w:eastAsia="仿宋_GB2312" w:cs="Times New Roman"/>
          <w:b w:val="0"/>
          <w:bCs w:val="0"/>
          <w:spacing w:val="0"/>
          <w:kern w:val="2"/>
          <w:sz w:val="32"/>
          <w:szCs w:val="32"/>
          <w:lang w:val="en-US" w:eastAsia="zh-CN"/>
        </w:rPr>
      </w:pPr>
    </w:p>
    <w:p w14:paraId="03D60C69">
      <w:pPr>
        <w:pStyle w:val="6"/>
        <w:keepNext w:val="0"/>
        <w:keepLines w:val="0"/>
        <w:pageBreakBefore w:val="0"/>
        <w:widowControl w:val="0"/>
        <w:wordWrap/>
        <w:overflowPunct/>
        <w:topLinePunct/>
        <w:bidi w:val="0"/>
        <w:spacing w:before="0" w:beforeLines="0" w:after="0" w:afterLines="0" w:line="580" w:lineRule="exact"/>
        <w:ind w:left="0" w:leftChars="0" w:right="0" w:rightChars="0"/>
        <w:jc w:val="both"/>
        <w:rPr>
          <w:rFonts w:hint="default" w:ascii="Times New Roman" w:hAnsi="Times New Roman" w:eastAsia="仿宋_GB2312" w:cs="Times New Roman"/>
          <w:b w:val="0"/>
          <w:bCs w:val="0"/>
          <w:spacing w:val="0"/>
          <w:kern w:val="2"/>
          <w:sz w:val="32"/>
          <w:szCs w:val="32"/>
          <w:lang w:val="en-US" w:eastAsia="zh-CN"/>
        </w:rPr>
      </w:pPr>
    </w:p>
    <w:p w14:paraId="6F782433">
      <w:pPr>
        <w:pStyle w:val="42"/>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rPr>
      </w:pPr>
    </w:p>
    <w:p w14:paraId="63BD380F">
      <w:pPr>
        <w:pStyle w:val="42"/>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内蒙古自治区人民政府拟定地方性法规草案和</w:t>
      </w:r>
    </w:p>
    <w:p w14:paraId="53AF047C">
      <w:pPr>
        <w:pStyle w:val="42"/>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pacing w:val="23"/>
          <w:sz w:val="44"/>
          <w:szCs w:val="44"/>
        </w:rPr>
      </w:pPr>
      <w:r>
        <w:rPr>
          <w:rFonts w:hint="eastAsia" w:ascii="方正小标宋简体" w:hAnsi="方正小标宋简体" w:eastAsia="方正小标宋简体" w:cs="方正小标宋简体"/>
          <w:color w:val="000000"/>
          <w:spacing w:val="23"/>
          <w:sz w:val="44"/>
          <w:szCs w:val="44"/>
        </w:rPr>
        <w:t>制定政府规章程序规定</w:t>
      </w:r>
    </w:p>
    <w:p w14:paraId="056EF293">
      <w:pPr>
        <w:pStyle w:val="42"/>
        <w:keepNext w:val="0"/>
        <w:keepLines w:val="0"/>
        <w:pageBreakBefore w:val="0"/>
        <w:widowControl w:val="0"/>
        <w:kinsoku/>
        <w:wordWrap/>
        <w:overflowPunct/>
        <w:topLinePunct/>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000000"/>
          <w:sz w:val="44"/>
          <w:szCs w:val="44"/>
        </w:rPr>
      </w:pPr>
    </w:p>
    <w:p w14:paraId="7C32248C">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 xml:space="preserve">    （2019年12月15日内蒙古自治区人民政府令第243号公布  根据2024年5月8日</w:t>
      </w:r>
      <w:r>
        <w:rPr>
          <w:rFonts w:hint="eastAsia" w:ascii="楷体" w:hAnsi="楷体" w:eastAsia="楷体" w:cs="楷体"/>
          <w:b w:val="0"/>
          <w:bCs w:val="0"/>
          <w:color w:val="000000"/>
          <w:sz w:val="32"/>
          <w:szCs w:val="32"/>
          <w:lang w:val="en" w:eastAsia="zh-CN"/>
        </w:rPr>
        <w:t>《</w:t>
      </w:r>
      <w:r>
        <w:rPr>
          <w:rFonts w:hint="eastAsia" w:ascii="楷体" w:hAnsi="楷体" w:eastAsia="楷体" w:cs="楷体"/>
          <w:b w:val="0"/>
          <w:bCs w:val="0"/>
          <w:color w:val="000000"/>
          <w:sz w:val="32"/>
          <w:szCs w:val="32"/>
          <w:lang w:val="en-US" w:eastAsia="zh-CN"/>
        </w:rPr>
        <w:t>内蒙古自治区人民政府关于修改和废止部分政府规章的决定</w:t>
      </w:r>
      <w:r>
        <w:rPr>
          <w:rFonts w:hint="eastAsia" w:ascii="楷体" w:hAnsi="楷体" w:eastAsia="楷体" w:cs="楷体"/>
          <w:b w:val="0"/>
          <w:bCs w:val="0"/>
          <w:color w:val="000000"/>
          <w:sz w:val="32"/>
          <w:szCs w:val="32"/>
          <w:lang w:val="en" w:eastAsia="zh-CN"/>
        </w:rPr>
        <w:t>》修正</w:t>
      </w:r>
      <w:r>
        <w:rPr>
          <w:rFonts w:hint="eastAsia" w:ascii="楷体" w:hAnsi="楷体" w:eastAsia="楷体" w:cs="楷体"/>
          <w:b w:val="0"/>
          <w:bCs w:val="0"/>
          <w:color w:val="000000"/>
          <w:sz w:val="32"/>
          <w:szCs w:val="32"/>
          <w:lang w:val="en-US" w:eastAsia="zh-CN"/>
        </w:rPr>
        <w:t xml:space="preserve">） </w:t>
      </w:r>
    </w:p>
    <w:p w14:paraId="664EBFA5">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0"/>
        <w:jc w:val="both"/>
        <w:textAlignment w:val="auto"/>
        <w:rPr>
          <w:rFonts w:ascii="黑体" w:hAnsi="宋体" w:eastAsia="黑体" w:cs="黑体"/>
          <w:sz w:val="31"/>
          <w:szCs w:val="31"/>
        </w:rPr>
      </w:pPr>
    </w:p>
    <w:p w14:paraId="3477C1E2">
      <w:pPr>
        <w:pStyle w:val="23"/>
        <w:keepNext w:val="0"/>
        <w:keepLines w:val="0"/>
        <w:pageBreakBefore w:val="0"/>
        <w:widowControl w:val="0"/>
        <w:suppressLineNumbers w:val="0"/>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firstLine="0" w:firstLineChars="0"/>
        <w:jc w:val="center"/>
        <w:textAlignment w:val="auto"/>
        <w:rPr>
          <w:rFonts w:hint="eastAsia" w:ascii="黑体" w:hAnsi="黑体" w:eastAsia="黑体" w:cs="黑体"/>
          <w:sz w:val="32"/>
        </w:rPr>
      </w:pPr>
      <w:r>
        <w:rPr>
          <w:rFonts w:hint="eastAsia" w:ascii="黑体" w:hAnsi="黑体" w:eastAsia="黑体" w:cs="黑体"/>
          <w:sz w:val="32"/>
          <w:szCs w:val="31"/>
        </w:rPr>
        <w:t>第一章</w:t>
      </w: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总</w:t>
      </w: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则</w:t>
      </w:r>
    </w:p>
    <w:p w14:paraId="0F184AF6">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黑体" w:hAnsi="黑体" w:eastAsia="黑体" w:cs="黑体"/>
          <w:sz w:val="32"/>
          <w:szCs w:val="31"/>
        </w:rPr>
        <w:t>第一条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为了规范自治区人民政府拟定地方性法规草案和制定政府规章程序，保证立法质量，发挥立法的引领和推动作用，根据《中华人民共和国立法法》《规章制定程序条例》等法律、法规，结合自治区实际，制定本规定。</w:t>
      </w:r>
    </w:p>
    <w:p w14:paraId="65A4F8CD">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黑体" w:hAnsi="黑体" w:eastAsia="黑体" w:cs="黑体"/>
          <w:sz w:val="32"/>
          <w:szCs w:val="31"/>
        </w:rPr>
        <w:t>第二条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自治区人民政府拟定地方性法规草案和制定政府规章适用本规定。</w:t>
      </w:r>
    </w:p>
    <w:p w14:paraId="119347C1">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1"/>
          <w:lang w:val="en-US" w:eastAsia="zh-CN"/>
        </w:rPr>
      </w:pPr>
      <w:r>
        <w:rPr>
          <w:rFonts w:hint="eastAsia" w:ascii="黑体" w:hAnsi="黑体" w:eastAsia="黑体" w:cs="黑体"/>
          <w:sz w:val="32"/>
          <w:szCs w:val="31"/>
        </w:rPr>
        <w:t>第三条</w:t>
      </w:r>
      <w:r>
        <w:rPr>
          <w:rFonts w:hint="eastAsia" w:ascii="仿宋" w:hAnsi="仿宋" w:eastAsia="仿宋" w:cs="仿宋"/>
          <w:sz w:val="32"/>
          <w:szCs w:val="31"/>
          <w:lang w:val="en-US" w:eastAsia="zh-CN"/>
        </w:rPr>
        <w:t xml:space="preserve">  拟定地方性法规草案和制定政府规章应当坚持中国共产党的领导，以铸牢中华民族共同体意识为工作主线，完整、准确、全面贯彻新发展理念，遵循立法法确定的立法原则，符合宪法、法律、行政法规和其他上位法的规定，弘扬社会主义核心价值观，立足自治区实际，增强针对性和可执行性，坚持和发展全过程人民民主，保障人民通过多种途径参与立法活动。</w:t>
      </w:r>
    </w:p>
    <w:p w14:paraId="1340C2EB">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黑体" w:hAnsi="黑体" w:eastAsia="黑体" w:cs="黑体"/>
          <w:sz w:val="32"/>
          <w:szCs w:val="31"/>
        </w:rPr>
        <w:t xml:space="preserve">第四条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制定政治方面法律法规的配套政府规章和重大经</w:t>
      </w:r>
      <w:r>
        <w:rPr>
          <w:rFonts w:hint="eastAsia" w:ascii="仿宋" w:hAnsi="仿宋" w:eastAsia="仿宋" w:cs="仿宋"/>
          <w:spacing w:val="-6"/>
          <w:sz w:val="32"/>
          <w:szCs w:val="31"/>
        </w:rPr>
        <w:t>济社会方面的政府规章，应当按照有关规定及时报告自治区党委。</w:t>
      </w:r>
    </w:p>
    <w:p w14:paraId="44D49BC1">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 w:cs="仿宋"/>
          <w:sz w:val="32"/>
        </w:rPr>
      </w:pPr>
      <w:r>
        <w:rPr>
          <w:rFonts w:hint="eastAsia" w:ascii="黑体" w:hAnsi="黑体" w:eastAsia="黑体" w:cs="黑体"/>
          <w:sz w:val="32"/>
          <w:szCs w:val="31"/>
        </w:rPr>
        <w:t>第</w:t>
      </w:r>
      <w:r>
        <w:rPr>
          <w:rFonts w:hint="eastAsia" w:ascii="黑体" w:hAnsi="黑体" w:eastAsia="黑体" w:cs="黑体"/>
          <w:sz w:val="32"/>
          <w:szCs w:val="31"/>
          <w:lang w:eastAsia="zh-CN"/>
        </w:rPr>
        <w:t>五</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拟定地方性法规草案的程序包括立项、起草、审查、决定、提请审议。</w:t>
      </w:r>
    </w:p>
    <w:p w14:paraId="7DEF5ED0">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 w:cs="仿宋"/>
          <w:sz w:val="32"/>
        </w:rPr>
      </w:pPr>
      <w:r>
        <w:rPr>
          <w:rFonts w:hint="eastAsia" w:ascii="仿宋" w:hAnsi="仿宋" w:eastAsia="仿宋" w:cs="仿宋"/>
          <w:sz w:val="32"/>
          <w:szCs w:val="31"/>
        </w:rPr>
        <w:t>制定政府规章的程序包括立项、起草、审查、决定、公布、备案和解释。</w:t>
      </w:r>
    </w:p>
    <w:p w14:paraId="6D5C9F4E">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 w:cs="仿宋"/>
          <w:sz w:val="32"/>
        </w:rPr>
      </w:pPr>
      <w:r>
        <w:rPr>
          <w:rFonts w:hint="eastAsia" w:ascii="黑体" w:hAnsi="黑体" w:eastAsia="黑体" w:cs="黑体"/>
          <w:sz w:val="32"/>
          <w:szCs w:val="31"/>
        </w:rPr>
        <w:t>第</w:t>
      </w:r>
      <w:r>
        <w:rPr>
          <w:rFonts w:hint="eastAsia" w:ascii="黑体" w:hAnsi="黑体" w:eastAsia="黑体" w:cs="黑体"/>
          <w:sz w:val="32"/>
          <w:szCs w:val="31"/>
          <w:lang w:eastAsia="zh-CN"/>
        </w:rPr>
        <w:t>六</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拟定地方性法规草案和制定政府规章应当符合立法技术规范，逻辑严密，条理清晰，内容明确、具体，用语准确、简洁，具有可操作性。</w:t>
      </w:r>
    </w:p>
    <w:p w14:paraId="28B54BEF">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 w:cs="仿宋"/>
          <w:sz w:val="32"/>
        </w:rPr>
      </w:pPr>
      <w:r>
        <w:rPr>
          <w:rFonts w:hint="eastAsia" w:ascii="仿宋" w:hAnsi="仿宋" w:eastAsia="仿宋" w:cs="仿宋"/>
          <w:sz w:val="32"/>
          <w:szCs w:val="31"/>
        </w:rPr>
        <w:t>上位法已经明确规定的内容，地方性法规和政府规章原则上不作重复规定。</w:t>
      </w:r>
    </w:p>
    <w:p w14:paraId="25784930">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 w:cs="仿宋"/>
          <w:spacing w:val="0"/>
          <w:sz w:val="32"/>
        </w:rPr>
      </w:pPr>
      <w:r>
        <w:rPr>
          <w:rFonts w:hint="eastAsia" w:ascii="黑体" w:hAnsi="黑体" w:eastAsia="黑体" w:cs="黑体"/>
          <w:sz w:val="32"/>
          <w:szCs w:val="31"/>
        </w:rPr>
        <w:t>第</w:t>
      </w:r>
      <w:r>
        <w:rPr>
          <w:rFonts w:hint="eastAsia" w:ascii="黑体" w:hAnsi="黑体" w:eastAsia="黑体" w:cs="黑体"/>
          <w:sz w:val="32"/>
          <w:szCs w:val="31"/>
          <w:lang w:eastAsia="zh-CN"/>
        </w:rPr>
        <w:t>七</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pacing w:val="-11"/>
          <w:sz w:val="32"/>
          <w:szCs w:val="31"/>
          <w:lang w:val="en-US" w:eastAsia="zh-CN"/>
        </w:rPr>
        <w:t xml:space="preserve"> </w:t>
      </w:r>
      <w:r>
        <w:rPr>
          <w:rFonts w:hint="eastAsia" w:ascii="仿宋" w:hAnsi="仿宋" w:eastAsia="仿宋" w:cs="仿宋"/>
          <w:spacing w:val="0"/>
          <w:sz w:val="32"/>
          <w:szCs w:val="31"/>
        </w:rPr>
        <w:t>没有法律、行政法规、地方性法规的依据，政府规</w:t>
      </w:r>
      <w:r>
        <w:rPr>
          <w:rFonts w:hint="eastAsia" w:ascii="仿宋" w:hAnsi="仿宋" w:eastAsia="仿宋" w:cs="仿宋"/>
          <w:spacing w:val="6"/>
          <w:sz w:val="32"/>
          <w:szCs w:val="31"/>
        </w:rPr>
        <w:t>章不得设定减损公民、法人和其他组织权利或者增加其义务的规</w:t>
      </w:r>
      <w:r>
        <w:rPr>
          <w:rFonts w:hint="eastAsia" w:ascii="仿宋" w:hAnsi="仿宋" w:eastAsia="仿宋" w:cs="仿宋"/>
          <w:spacing w:val="0"/>
          <w:sz w:val="32"/>
          <w:szCs w:val="31"/>
        </w:rPr>
        <w:t>范。</w:t>
      </w:r>
    </w:p>
    <w:p w14:paraId="7BED1E91">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自治区人民政府应当加强对政府立法工作的领导，研究解决立法工作中的重大问题。</w:t>
      </w:r>
    </w:p>
    <w:p w14:paraId="1F8084FB">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自治区人民政府司法行政部门具体负责拟定地方性法规草案和制定政府规章的组织、指导、协调和草案审查工作。</w:t>
      </w:r>
    </w:p>
    <w:p w14:paraId="003C59FE">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pacing w:val="0"/>
          <w:kern w:val="2"/>
          <w:sz w:val="32"/>
          <w:szCs w:val="32"/>
          <w:lang w:val="en-US" w:eastAsia="zh-CN" w:bidi="ar-SA"/>
        </w:rPr>
        <w:t>第九条</w:t>
      </w:r>
      <w:r>
        <w:rPr>
          <w:rFonts w:hint="eastAsia" w:ascii="仿宋" w:hAnsi="仿宋" w:eastAsia="仿宋" w:cs="仿宋"/>
          <w:spacing w:val="0"/>
          <w:kern w:val="2"/>
          <w:sz w:val="32"/>
          <w:szCs w:val="32"/>
          <w:lang w:val="en-US" w:eastAsia="zh-CN" w:bidi="ar-SA"/>
        </w:rPr>
        <w:t xml:space="preserve">  </w:t>
      </w:r>
      <w:r>
        <w:rPr>
          <w:rFonts w:hint="eastAsia" w:ascii="仿宋" w:hAnsi="仿宋" w:eastAsia="仿宋" w:cs="仿宋"/>
          <w:sz w:val="32"/>
          <w:szCs w:val="32"/>
          <w:lang w:val="en-US" w:eastAsia="zh-CN"/>
        </w:rPr>
        <w:t>鼓励和支持社会公众有序参与地方性法规和政府规章项目征集、公开征集意见、听证、咨询论证、评估等立法活动，提出意见和建议。自治区人民政府司法行政部门根据实际需要设立基层立法联系点，听取社会公众和有关方面对立法工作的意见和建议。</w:t>
      </w:r>
    </w:p>
    <w:p w14:paraId="3E893A15">
      <w:pPr>
        <w:pStyle w:val="23"/>
        <w:keepNext w:val="0"/>
        <w:keepLines w:val="0"/>
        <w:pageBreakBefore w:val="0"/>
        <w:widowControl w:val="0"/>
        <w:suppressLineNumbers w:val="0"/>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firstLine="0" w:firstLineChars="0"/>
        <w:jc w:val="center"/>
        <w:textAlignment w:val="auto"/>
        <w:rPr>
          <w:rFonts w:hint="eastAsia" w:ascii="黑体" w:hAnsi="黑体" w:eastAsia="黑体" w:cs="黑体"/>
          <w:sz w:val="32"/>
        </w:rPr>
      </w:pPr>
      <w:r>
        <w:rPr>
          <w:rFonts w:hint="eastAsia" w:ascii="黑体" w:hAnsi="黑体" w:eastAsia="黑体" w:cs="黑体"/>
          <w:sz w:val="32"/>
          <w:szCs w:val="31"/>
        </w:rPr>
        <w:t>第二章</w:t>
      </w: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立</w:t>
      </w: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项</w:t>
      </w:r>
    </w:p>
    <w:p w14:paraId="51DFBF70">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1"/>
        </w:rPr>
        <w:t>第</w:t>
      </w:r>
      <w:r>
        <w:rPr>
          <w:rFonts w:hint="eastAsia" w:ascii="黑体" w:hAnsi="黑体" w:eastAsia="黑体" w:cs="黑体"/>
          <w:sz w:val="32"/>
          <w:szCs w:val="31"/>
          <w:lang w:eastAsia="zh-CN"/>
        </w:rPr>
        <w:t>十</w:t>
      </w:r>
      <w:r>
        <w:rPr>
          <w:rFonts w:hint="eastAsia" w:ascii="黑体" w:hAnsi="黑体" w:eastAsia="黑体" w:cs="黑体"/>
          <w:sz w:val="32"/>
          <w:szCs w:val="31"/>
        </w:rPr>
        <w:t>条</w:t>
      </w:r>
      <w:r>
        <w:rPr>
          <w:rFonts w:hint="eastAsia" w:ascii="仿宋" w:hAnsi="仿宋" w:eastAsia="仿宋" w:cs="仿宋"/>
          <w:sz w:val="32"/>
          <w:szCs w:val="31"/>
          <w:lang w:val="en-US" w:eastAsia="zh-CN"/>
        </w:rPr>
        <w:t xml:space="preserve">  </w:t>
      </w:r>
      <w:r>
        <w:rPr>
          <w:rFonts w:hint="eastAsia" w:ascii="仿宋" w:hAnsi="仿宋" w:eastAsia="仿宋" w:cs="仿宋"/>
          <w:sz w:val="32"/>
          <w:szCs w:val="32"/>
          <w:lang w:val="en-US" w:eastAsia="zh-CN"/>
        </w:rPr>
        <w:t>自治区人民政府提出地方性法规立法规划和立法计划建议，制定政府规章立法计划,应当广泛征集意见，科学论证评估，根据经济社会发展和民主法治建设的需要，统筹兼顾，突出重点，立改废释并举。</w:t>
      </w:r>
    </w:p>
    <w:p w14:paraId="2E7758B5">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政府规章立法计划应当与地方性法规立法规划、立法计划相衔接。</w:t>
      </w:r>
    </w:p>
    <w:p w14:paraId="51DE93D6">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黑体" w:hAnsi="黑体" w:eastAsia="黑体" w:cs="黑体"/>
          <w:sz w:val="32"/>
          <w:szCs w:val="31"/>
        </w:rPr>
        <w:t>第十</w:t>
      </w:r>
      <w:r>
        <w:rPr>
          <w:rFonts w:hint="eastAsia" w:ascii="黑体" w:hAnsi="黑体" w:eastAsia="黑体" w:cs="黑体"/>
          <w:sz w:val="32"/>
          <w:szCs w:val="31"/>
          <w:lang w:eastAsia="zh-CN"/>
        </w:rPr>
        <w:t>一</w:t>
      </w:r>
      <w:r>
        <w:rPr>
          <w:rFonts w:hint="eastAsia" w:ascii="黑体" w:hAnsi="黑体" w:eastAsia="黑体" w:cs="黑体"/>
          <w:sz w:val="32"/>
          <w:szCs w:val="31"/>
        </w:rPr>
        <w:t>条</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自治区人民政府可以向社会公开征集地方性法规、政府规章年度立法计划项目建议。</w:t>
      </w:r>
    </w:p>
    <w:p w14:paraId="02033464">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仿宋" w:hAnsi="仿宋" w:eastAsia="仿宋" w:cs="仿宋"/>
          <w:sz w:val="32"/>
          <w:szCs w:val="31"/>
        </w:rPr>
        <w:t>自治区人民政府司法行政部门应当于每年下半年向自治区人民政府部门、盟行政公署和设区的市人民政府、有关组织征集下一年度立法计划项目建议，也可以通过自治区人民政府门户网站、自治区人民政府司法行政部门门户网站或者其他方式向社会公开征集立法计划项目建议。</w:t>
      </w:r>
    </w:p>
    <w:p w14:paraId="24021335">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黑体" w:hAnsi="黑体" w:eastAsia="黑体" w:cs="黑体"/>
          <w:sz w:val="32"/>
          <w:szCs w:val="31"/>
        </w:rPr>
        <w:t>第十</w:t>
      </w:r>
      <w:r>
        <w:rPr>
          <w:rFonts w:hint="eastAsia" w:ascii="黑体" w:hAnsi="黑体" w:eastAsia="黑体" w:cs="黑体"/>
          <w:sz w:val="32"/>
          <w:szCs w:val="31"/>
          <w:lang w:eastAsia="zh-CN"/>
        </w:rPr>
        <w:t>二</w:t>
      </w:r>
      <w:r>
        <w:rPr>
          <w:rFonts w:hint="eastAsia" w:ascii="黑体" w:hAnsi="黑体" w:eastAsia="黑体" w:cs="黑体"/>
          <w:sz w:val="32"/>
          <w:szCs w:val="31"/>
        </w:rPr>
        <w:t xml:space="preserve">条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自治区人民政府部门、盟行政公署和设区的市人民政府认为需要制定地方性法规或者政府规章的，应当向自治区人民政府申请立项。</w:t>
      </w:r>
    </w:p>
    <w:p w14:paraId="3AAEF169">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rPr>
      </w:pPr>
      <w:r>
        <w:rPr>
          <w:rFonts w:hint="eastAsia" w:ascii="黑体" w:hAnsi="黑体" w:eastAsia="黑体" w:cs="黑体"/>
          <w:sz w:val="32"/>
          <w:szCs w:val="31"/>
          <w:lang w:eastAsia="zh-CN"/>
        </w:rPr>
        <w:t>第十三条</w:t>
      </w:r>
      <w:r>
        <w:rPr>
          <w:rFonts w:hint="eastAsia" w:ascii="仿宋" w:hAnsi="仿宋" w:eastAsia="仿宋" w:cs="仿宋"/>
          <w:sz w:val="32"/>
          <w:szCs w:val="31"/>
          <w:lang w:val="en-US" w:eastAsia="zh-CN"/>
        </w:rPr>
        <w:t xml:space="preserve"> </w:t>
      </w:r>
      <w:r>
        <w:rPr>
          <w:rFonts w:hint="eastAsia" w:ascii="仿宋" w:hAnsi="仿宋" w:eastAsia="仿宋" w:cs="仿宋"/>
          <w:spacing w:val="0"/>
          <w:kern w:val="2"/>
          <w:sz w:val="32"/>
          <w:szCs w:val="32"/>
          <w:lang w:val="en-US" w:eastAsia="zh-CN"/>
        </w:rPr>
        <w:t xml:space="preserve"> </w:t>
      </w:r>
      <w:r>
        <w:rPr>
          <w:rFonts w:hint="eastAsia" w:ascii="仿宋" w:hAnsi="仿宋" w:eastAsia="仿宋" w:cs="仿宋"/>
          <w:spacing w:val="0"/>
          <w:kern w:val="2"/>
          <w:sz w:val="32"/>
          <w:szCs w:val="32"/>
        </w:rPr>
        <w:t>报请地方性法规、政府规章立项，应当报送下列书面材料及其电子文本</w:t>
      </w:r>
      <w:r>
        <w:rPr>
          <w:rFonts w:hint="eastAsia" w:ascii="仿宋" w:hAnsi="仿宋" w:eastAsia="仿宋" w:cs="仿宋"/>
          <w:spacing w:val="0"/>
          <w:kern w:val="2"/>
          <w:sz w:val="32"/>
          <w:szCs w:val="32"/>
          <w:lang w:val="en-US" w:eastAsia="zh-CN"/>
        </w:rPr>
        <w:t>：</w:t>
      </w:r>
    </w:p>
    <w:p w14:paraId="3C03FBDB">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lang w:eastAsia="zh-CN"/>
        </w:rPr>
      </w:pPr>
      <w:r>
        <w:rPr>
          <w:rFonts w:hint="eastAsia" w:ascii="仿宋" w:hAnsi="仿宋" w:eastAsia="仿宋" w:cs="仿宋"/>
          <w:spacing w:val="0"/>
          <w:kern w:val="2"/>
          <w:sz w:val="32"/>
          <w:szCs w:val="32"/>
          <w:lang w:val="en-US" w:eastAsia="zh-CN"/>
        </w:rPr>
        <w:t>（一）</w:t>
      </w:r>
      <w:r>
        <w:rPr>
          <w:rFonts w:hint="eastAsia" w:ascii="仿宋" w:hAnsi="仿宋" w:eastAsia="仿宋" w:cs="仿宋"/>
          <w:spacing w:val="0"/>
          <w:kern w:val="2"/>
          <w:sz w:val="32"/>
          <w:szCs w:val="32"/>
          <w:lang w:eastAsia="zh-CN"/>
        </w:rPr>
        <w:t>立项建议报告书；</w:t>
      </w:r>
    </w:p>
    <w:p w14:paraId="508DDDB6">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val="en-US" w:eastAsia="zh-CN"/>
        </w:rPr>
        <w:t>（二）</w:t>
      </w:r>
      <w:r>
        <w:rPr>
          <w:rFonts w:hint="eastAsia" w:ascii="仿宋" w:hAnsi="仿宋" w:eastAsia="仿宋" w:cs="仿宋"/>
          <w:spacing w:val="0"/>
          <w:kern w:val="2"/>
          <w:sz w:val="32"/>
          <w:szCs w:val="32"/>
        </w:rPr>
        <w:t>草案</w:t>
      </w:r>
      <w:r>
        <w:rPr>
          <w:rFonts w:hint="eastAsia" w:ascii="仿宋" w:hAnsi="仿宋" w:eastAsia="仿宋" w:cs="仿宋"/>
          <w:spacing w:val="0"/>
          <w:kern w:val="2"/>
          <w:sz w:val="32"/>
          <w:szCs w:val="32"/>
          <w:lang w:eastAsia="zh-CN"/>
        </w:rPr>
        <w:t>和</w:t>
      </w:r>
      <w:r>
        <w:rPr>
          <w:rFonts w:hint="eastAsia" w:ascii="仿宋" w:hAnsi="仿宋" w:eastAsia="仿宋" w:cs="仿宋"/>
          <w:spacing w:val="0"/>
          <w:kern w:val="2"/>
          <w:sz w:val="32"/>
          <w:szCs w:val="32"/>
        </w:rPr>
        <w:t>起草说明；</w:t>
      </w:r>
    </w:p>
    <w:p w14:paraId="63B0AF6C">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val="en-US" w:eastAsia="zh-CN"/>
        </w:rPr>
        <w:t>（三）</w:t>
      </w:r>
      <w:r>
        <w:rPr>
          <w:rFonts w:hint="eastAsia" w:ascii="仿宋" w:hAnsi="仿宋" w:eastAsia="仿宋" w:cs="仿宋"/>
          <w:spacing w:val="0"/>
          <w:kern w:val="2"/>
          <w:sz w:val="32"/>
          <w:szCs w:val="32"/>
        </w:rPr>
        <w:t>法律、法规依据以及有关立法资料；</w:t>
      </w:r>
    </w:p>
    <w:p w14:paraId="01752535">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val="en-US" w:eastAsia="zh-CN"/>
        </w:rPr>
        <w:t>（四）</w:t>
      </w:r>
      <w:r>
        <w:rPr>
          <w:rFonts w:hint="eastAsia" w:ascii="仿宋" w:hAnsi="仿宋" w:eastAsia="仿宋" w:cs="仿宋"/>
          <w:spacing w:val="0"/>
          <w:kern w:val="2"/>
          <w:sz w:val="32"/>
          <w:szCs w:val="32"/>
        </w:rPr>
        <w:t>征求意见汇总材料</w:t>
      </w:r>
      <w:r>
        <w:rPr>
          <w:rFonts w:hint="eastAsia" w:ascii="仿宋" w:hAnsi="仿宋" w:eastAsia="仿宋" w:cs="仿宋"/>
          <w:spacing w:val="0"/>
          <w:kern w:val="2"/>
          <w:sz w:val="32"/>
          <w:szCs w:val="32"/>
          <w:lang w:eastAsia="zh-CN"/>
        </w:rPr>
        <w:t>以及调研报告；</w:t>
      </w:r>
    </w:p>
    <w:p w14:paraId="1C258F11">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val="en-US" w:eastAsia="zh-CN"/>
        </w:rPr>
        <w:t>（五）</w:t>
      </w:r>
      <w:r>
        <w:rPr>
          <w:rFonts w:hint="eastAsia" w:ascii="仿宋" w:hAnsi="仿宋" w:eastAsia="仿宋" w:cs="仿宋"/>
          <w:spacing w:val="0"/>
          <w:kern w:val="2"/>
          <w:sz w:val="32"/>
          <w:szCs w:val="32"/>
        </w:rPr>
        <w:t>建议审议的时间。</w:t>
      </w:r>
    </w:p>
    <w:p w14:paraId="2681D779">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rPr>
      </w:pPr>
      <w:r>
        <w:rPr>
          <w:rFonts w:hint="eastAsia" w:ascii="仿宋" w:hAnsi="仿宋" w:eastAsia="仿宋" w:cs="仿宋"/>
          <w:spacing w:val="0"/>
          <w:kern w:val="2"/>
          <w:sz w:val="32"/>
          <w:szCs w:val="32"/>
        </w:rPr>
        <w:t>起草说明应当包括立法的必要性和可行性、起草过程、拟解</w:t>
      </w:r>
      <w:r>
        <w:rPr>
          <w:rFonts w:hint="eastAsia" w:ascii="仿宋" w:hAnsi="仿宋" w:eastAsia="仿宋" w:cs="仿宋"/>
          <w:spacing w:val="6"/>
          <w:kern w:val="2"/>
          <w:sz w:val="32"/>
          <w:szCs w:val="32"/>
        </w:rPr>
        <w:t>决的主要问题、确立的主要措施以及主要分歧意见的协调处理情况。</w:t>
      </w:r>
    </w:p>
    <w:p w14:paraId="52966C9B">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kern w:val="2"/>
          <w:sz w:val="32"/>
          <w:szCs w:val="32"/>
          <w:lang w:val="en-US" w:eastAsia="zh-CN"/>
        </w:rPr>
      </w:pPr>
      <w:r>
        <w:rPr>
          <w:rFonts w:hint="eastAsia" w:ascii="仿宋" w:hAnsi="仿宋" w:eastAsia="仿宋" w:cs="仿宋"/>
          <w:spacing w:val="0"/>
          <w:kern w:val="2"/>
          <w:sz w:val="32"/>
          <w:szCs w:val="32"/>
        </w:rPr>
        <w:t>召开论证会和听证会的，还应当报送论证、听证</w:t>
      </w:r>
      <w:r>
        <w:rPr>
          <w:rFonts w:hint="eastAsia" w:ascii="仿宋" w:hAnsi="仿宋" w:eastAsia="仿宋" w:cs="仿宋"/>
          <w:spacing w:val="0"/>
          <w:kern w:val="2"/>
          <w:sz w:val="32"/>
          <w:szCs w:val="32"/>
          <w:lang w:eastAsia="zh-CN"/>
        </w:rPr>
        <w:t>报告</w:t>
      </w:r>
      <w:r>
        <w:rPr>
          <w:rFonts w:hint="eastAsia" w:ascii="仿宋" w:hAnsi="仿宋" w:eastAsia="仿宋" w:cs="仿宋"/>
          <w:spacing w:val="0"/>
          <w:kern w:val="2"/>
          <w:sz w:val="32"/>
          <w:szCs w:val="32"/>
        </w:rPr>
        <w:t>。</w:t>
      </w:r>
    </w:p>
    <w:p w14:paraId="6E2A42E6">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黑体" w:hAnsi="黑体" w:eastAsia="黑体" w:cs="黑体"/>
          <w:sz w:val="32"/>
          <w:szCs w:val="31"/>
        </w:rPr>
        <w:t>第十</w:t>
      </w:r>
      <w:r>
        <w:rPr>
          <w:rFonts w:hint="eastAsia" w:ascii="黑体" w:hAnsi="黑体" w:eastAsia="黑体" w:cs="黑体"/>
          <w:sz w:val="32"/>
          <w:szCs w:val="31"/>
          <w:lang w:eastAsia="zh-CN"/>
        </w:rPr>
        <w:t>四</w:t>
      </w:r>
      <w:r>
        <w:rPr>
          <w:rFonts w:hint="eastAsia" w:ascii="黑体" w:hAnsi="黑体" w:eastAsia="黑体" w:cs="黑体"/>
          <w:sz w:val="32"/>
          <w:szCs w:val="31"/>
        </w:rPr>
        <w:t>条</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地方性法规立法规划建议和立法计划建议，应当由自治区人民政府司法行政部门拟定，经自治区人民政府审定后报送自治区人民代表大会常务委员会。</w:t>
      </w:r>
    </w:p>
    <w:p w14:paraId="0A187D33">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1"/>
        </w:rPr>
      </w:pPr>
      <w:r>
        <w:rPr>
          <w:rFonts w:hint="eastAsia" w:ascii="仿宋" w:hAnsi="仿宋" w:eastAsia="仿宋" w:cs="仿宋"/>
          <w:sz w:val="32"/>
          <w:szCs w:val="31"/>
        </w:rPr>
        <w:t>自治区人民政府司法行政部门应当对制定政府规章的立项申请和公开征集的政府规章立法计划项目建议进行评估论证，拟订政府规章立法计划，报自治区人民政府批准后向社会公布。</w:t>
      </w:r>
    </w:p>
    <w:p w14:paraId="26D7103E">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1"/>
          <w:lang w:val="en-US" w:eastAsia="zh-CN"/>
        </w:rPr>
      </w:pPr>
      <w:r>
        <w:rPr>
          <w:rFonts w:hint="eastAsia" w:ascii="黑体" w:hAnsi="黑体" w:eastAsia="黑体" w:cs="黑体"/>
          <w:spacing w:val="0"/>
          <w:kern w:val="2"/>
          <w:sz w:val="32"/>
          <w:szCs w:val="32"/>
          <w:lang w:val="en-US" w:eastAsia="zh-CN" w:bidi="ar-SA"/>
        </w:rPr>
        <w:t>第十五条</w:t>
      </w:r>
      <w:r>
        <w:rPr>
          <w:rFonts w:hint="eastAsia" w:ascii="仿宋" w:hAnsi="仿宋" w:eastAsia="仿宋" w:cs="仿宋"/>
          <w:spacing w:val="0"/>
          <w:kern w:val="2"/>
          <w:sz w:val="32"/>
          <w:szCs w:val="32"/>
          <w:lang w:val="en-US" w:eastAsia="zh-CN" w:bidi="ar-SA"/>
        </w:rPr>
        <w:t xml:space="preserve">  </w:t>
      </w:r>
      <w:r>
        <w:rPr>
          <w:rFonts w:hint="eastAsia" w:ascii="仿宋" w:hAnsi="仿宋" w:eastAsia="仿宋" w:cs="仿宋"/>
          <w:sz w:val="32"/>
          <w:szCs w:val="31"/>
          <w:lang w:val="en-US" w:eastAsia="zh-CN"/>
        </w:rPr>
        <w:t>自治区人民政府部门、盟行政公署和设区的市人民政府报送的立项申请项目和公开征集的立法计划建议项目，有下列情形之一的，不予列入地方性法规立法规划、立法计划建议项目或者政府规章立法计划：</w:t>
      </w:r>
    </w:p>
    <w:p w14:paraId="55D231C2">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（一）立法宗旨不符合铸牢中华民族共同体意识等党和国家基本方针、政策的；</w:t>
      </w:r>
    </w:p>
    <w:p w14:paraId="664EB95B">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（二）主要内容不符合社会主义市场经济发展和政府职能转变要求的；</w:t>
      </w:r>
    </w:p>
    <w:p w14:paraId="5D920E08">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（三）可以通过规范性文件解决问题的；</w:t>
      </w:r>
    </w:p>
    <w:p w14:paraId="4E98B40D">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（四）立法必要性不充分或者实践中难以执行的；</w:t>
      </w:r>
    </w:p>
    <w:p w14:paraId="1457FD87">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（五）未按照本规定第十三条报送相关材料的；</w:t>
      </w:r>
    </w:p>
    <w:p w14:paraId="022F965C">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（六）立法条件和时机不成熟的其他情形。</w:t>
      </w:r>
    </w:p>
    <w:p w14:paraId="66BE0689">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黑体" w:hAnsi="黑体" w:eastAsia="黑体" w:cs="黑体"/>
          <w:sz w:val="32"/>
          <w:szCs w:val="31"/>
        </w:rPr>
        <w:t>第十</w:t>
      </w:r>
      <w:r>
        <w:rPr>
          <w:rFonts w:hint="eastAsia" w:ascii="黑体" w:hAnsi="黑体" w:eastAsia="黑体" w:cs="黑体"/>
          <w:sz w:val="32"/>
          <w:szCs w:val="31"/>
          <w:lang w:eastAsia="zh-CN"/>
        </w:rPr>
        <w:t>六</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在地方性法规和政府规章立法计划执行中，自治区人民政府司法行政部门可以根据实际情况，提出立法计划调整建议。</w:t>
      </w:r>
    </w:p>
    <w:p w14:paraId="4709BC2B">
      <w:pPr>
        <w:pStyle w:val="23"/>
        <w:keepNext w:val="0"/>
        <w:keepLines w:val="0"/>
        <w:pageBreakBefore w:val="0"/>
        <w:widowControl w:val="0"/>
        <w:suppressLineNumbers w:val="0"/>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firstLine="0" w:firstLineChars="0"/>
        <w:jc w:val="center"/>
        <w:textAlignment w:val="auto"/>
        <w:rPr>
          <w:rFonts w:hint="eastAsia" w:ascii="黑体" w:hAnsi="黑体" w:eastAsia="黑体" w:cs="黑体"/>
          <w:sz w:val="32"/>
        </w:rPr>
      </w:pPr>
      <w:r>
        <w:rPr>
          <w:rFonts w:hint="eastAsia" w:ascii="黑体" w:hAnsi="黑体" w:eastAsia="黑体" w:cs="黑体"/>
          <w:sz w:val="32"/>
          <w:szCs w:val="31"/>
        </w:rPr>
        <w:t>第三章</w:t>
      </w: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起</w:t>
      </w: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草</w:t>
      </w:r>
    </w:p>
    <w:p w14:paraId="0673EA2F">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sz w:val="32"/>
        </w:rPr>
      </w:pPr>
      <w:r>
        <w:rPr>
          <w:rFonts w:hint="eastAsia" w:ascii="黑体" w:hAnsi="黑体" w:eastAsia="黑体" w:cs="黑体"/>
          <w:sz w:val="32"/>
          <w:szCs w:val="31"/>
        </w:rPr>
        <w:t>第十</w:t>
      </w:r>
      <w:r>
        <w:rPr>
          <w:rFonts w:hint="eastAsia" w:ascii="黑体" w:hAnsi="黑体" w:eastAsia="黑体" w:cs="黑体"/>
          <w:sz w:val="32"/>
          <w:szCs w:val="31"/>
          <w:lang w:eastAsia="zh-CN"/>
        </w:rPr>
        <w:t>七</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pacing w:val="0"/>
          <w:sz w:val="32"/>
          <w:szCs w:val="31"/>
        </w:rPr>
        <w:t>地方性法规和政府规章由申请立项的部门或者单位起草。涉及两个以上部门职权的，由自治区人民政府确定一个部门或者几个部门共同负责起草工作；涉及重要行政管理或者</w:t>
      </w:r>
      <w:r>
        <w:rPr>
          <w:rFonts w:hint="eastAsia" w:ascii="仿宋" w:hAnsi="仿宋" w:eastAsia="仿宋" w:cs="仿宋"/>
          <w:spacing w:val="6"/>
          <w:sz w:val="32"/>
          <w:szCs w:val="31"/>
        </w:rPr>
        <w:t>综合性较强的项目，可以由自治区人民政府司法行政部门组织起草。</w:t>
      </w:r>
    </w:p>
    <w:p w14:paraId="5B32C41E">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0"/>
          <w:sz w:val="32"/>
        </w:rPr>
      </w:pPr>
      <w:r>
        <w:rPr>
          <w:rFonts w:hint="eastAsia" w:ascii="仿宋" w:hAnsi="仿宋" w:eastAsia="仿宋" w:cs="仿宋"/>
          <w:spacing w:val="0"/>
          <w:sz w:val="32"/>
          <w:szCs w:val="31"/>
        </w:rPr>
        <w:t>盟行政公署申请立项的，由盟行政公署组织起草。</w:t>
      </w:r>
    </w:p>
    <w:p w14:paraId="2B10C72A">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仿宋" w:hAnsi="仿宋" w:eastAsia="仿宋" w:cs="仿宋"/>
          <w:sz w:val="32"/>
          <w:szCs w:val="31"/>
        </w:rPr>
        <w:t>起草专业性较强的地方性法规和政府规章，可以吸收相关领域的专家参与起草工作，或者委托有关专家、教学科研单位、社会组织起草。</w:t>
      </w:r>
    </w:p>
    <w:p w14:paraId="5AB1D6A0">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黑体" w:hAnsi="黑体" w:eastAsia="黑体" w:cs="黑体"/>
          <w:sz w:val="32"/>
          <w:szCs w:val="31"/>
        </w:rPr>
        <w:t>第十</w:t>
      </w:r>
      <w:r>
        <w:rPr>
          <w:rFonts w:hint="eastAsia" w:ascii="黑体" w:hAnsi="黑体" w:eastAsia="黑体" w:cs="黑体"/>
          <w:sz w:val="32"/>
          <w:szCs w:val="31"/>
          <w:lang w:eastAsia="zh-CN"/>
        </w:rPr>
        <w:t>八</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起草地方性法规和政府规章，除依法需要保密的外，应当将草案及其说明等向社会公布，征求意见。向社会公布征求意见的期限一般不少于三十日。</w:t>
      </w:r>
    </w:p>
    <w:p w14:paraId="2C4785E7">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黑体" w:hAnsi="黑体" w:eastAsia="黑体" w:cs="黑体"/>
          <w:sz w:val="32"/>
          <w:szCs w:val="31"/>
        </w:rPr>
        <w:t>第十</w:t>
      </w:r>
      <w:r>
        <w:rPr>
          <w:rFonts w:hint="eastAsia" w:ascii="黑体" w:hAnsi="黑体" w:eastAsia="黑体" w:cs="黑体"/>
          <w:sz w:val="32"/>
          <w:szCs w:val="31"/>
          <w:lang w:eastAsia="zh-CN"/>
        </w:rPr>
        <w:t>九</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起草地方性法规和政府规章涉及自治区人民政府其他机构或者部门职责的，起草单位应当充分征求相关机构或者部门的意见。</w:t>
      </w:r>
    </w:p>
    <w:p w14:paraId="1CDEB94C">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黑体" w:hAnsi="黑体" w:eastAsia="黑体" w:cs="黑体"/>
          <w:sz w:val="32"/>
          <w:szCs w:val="31"/>
        </w:rPr>
        <w:t>第</w:t>
      </w:r>
      <w:r>
        <w:rPr>
          <w:rFonts w:hint="eastAsia" w:ascii="黑体" w:hAnsi="黑体" w:eastAsia="黑体" w:cs="黑体"/>
          <w:sz w:val="32"/>
          <w:szCs w:val="31"/>
          <w:lang w:eastAsia="zh-CN"/>
        </w:rPr>
        <w:t>二十</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起草地方性法规和政府规章涉及社会公众普遍关注的热点难点问题和经济社会发展遇到的突出矛盾，减损公民、法人和其他组织权利或者增加其义务，对社会公众有重要影响等重大利益调整事项的，起草单位应当进行论证咨询，广泛听取有关方面的意见。</w:t>
      </w:r>
    </w:p>
    <w:p w14:paraId="2ECC2D3E">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黑体" w:hAnsi="黑体" w:eastAsia="黑体" w:cs="黑体"/>
          <w:sz w:val="32"/>
          <w:szCs w:val="31"/>
        </w:rPr>
        <w:t>第</w:t>
      </w:r>
      <w:r>
        <w:rPr>
          <w:rFonts w:hint="eastAsia" w:ascii="黑体" w:hAnsi="黑体" w:eastAsia="黑体" w:cs="黑体"/>
          <w:sz w:val="32"/>
          <w:szCs w:val="31"/>
          <w:lang w:eastAsia="zh-CN"/>
        </w:rPr>
        <w:t>二十一</w:t>
      </w:r>
      <w:r>
        <w:rPr>
          <w:rFonts w:hint="eastAsia" w:ascii="黑体" w:hAnsi="黑体" w:eastAsia="黑体" w:cs="黑体"/>
          <w:sz w:val="32"/>
          <w:szCs w:val="31"/>
        </w:rPr>
        <w:t xml:space="preserve">条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起草地方性法规和政府规章涉及重大利益调整或者存在重大意见分歧，对公民、法人或者其他组织的权利义务有较大影响，人民群众普遍关注，需要进行听证的，起草单位应当举行听证会。</w:t>
      </w:r>
    </w:p>
    <w:p w14:paraId="791871D4">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黑体" w:hAnsi="黑体" w:eastAsia="黑体" w:cs="黑体"/>
          <w:sz w:val="32"/>
          <w:szCs w:val="31"/>
        </w:rPr>
        <w:t>第二十</w:t>
      </w:r>
      <w:r>
        <w:rPr>
          <w:rFonts w:hint="eastAsia" w:ascii="黑体" w:hAnsi="黑体" w:eastAsia="黑体" w:cs="黑体"/>
          <w:sz w:val="32"/>
          <w:szCs w:val="31"/>
          <w:lang w:eastAsia="zh-CN"/>
        </w:rPr>
        <w:t>二</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起草地方性法规和政府规章涉及市场准入、产业发展、招商引资、招标投标、政府采购、经营行为规范、资质标准等市场主体经济活动的，起草单位应当按照国家和自治区有关规定开展公平竞争审查，听取市场主体意见。</w:t>
      </w:r>
    </w:p>
    <w:p w14:paraId="4EB46F5C">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黑体" w:hAnsi="黑体" w:eastAsia="黑体" w:cs="黑体"/>
          <w:sz w:val="32"/>
          <w:szCs w:val="31"/>
        </w:rPr>
        <w:t>第二十</w:t>
      </w:r>
      <w:r>
        <w:rPr>
          <w:rFonts w:hint="eastAsia" w:ascii="黑体" w:hAnsi="黑体" w:eastAsia="黑体" w:cs="黑体"/>
          <w:sz w:val="32"/>
          <w:szCs w:val="31"/>
          <w:lang w:eastAsia="zh-CN"/>
        </w:rPr>
        <w:t>三</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地方性法规草案送审稿和政府规章草案送审稿应当由起草单位法制机构审核，经起草单位主要负责人签署后，报送自治区人民政府司法行政部门。</w:t>
      </w:r>
    </w:p>
    <w:p w14:paraId="35F2E593">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1"/>
        </w:rPr>
      </w:pPr>
      <w:r>
        <w:rPr>
          <w:rFonts w:hint="eastAsia" w:ascii="仿宋" w:hAnsi="仿宋" w:eastAsia="仿宋" w:cs="仿宋"/>
          <w:sz w:val="32"/>
          <w:szCs w:val="31"/>
        </w:rPr>
        <w:t>地方性法规草案送审稿和政府规章草案送审稿由几个单位共同起草的，应当由起草单位主要负责人共同签署。</w:t>
      </w:r>
    </w:p>
    <w:p w14:paraId="51E2FE59">
      <w:pPr>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kern w:val="0"/>
          <w:sz w:val="32"/>
          <w:szCs w:val="31"/>
          <w:lang w:val="en-US" w:eastAsia="zh-CN" w:bidi="ar"/>
        </w:rPr>
      </w:pPr>
      <w:r>
        <w:rPr>
          <w:rFonts w:hint="eastAsia" w:ascii="黑体" w:hAnsi="黑体" w:eastAsia="黑体" w:cs="黑体"/>
          <w:spacing w:val="0"/>
          <w:kern w:val="2"/>
          <w:sz w:val="32"/>
          <w:szCs w:val="32"/>
          <w:highlight w:val="none"/>
          <w:lang w:val="en-US" w:eastAsia="zh-CN" w:bidi="ar-SA"/>
        </w:rPr>
        <w:t>第二十四条</w:t>
      </w:r>
      <w:r>
        <w:rPr>
          <w:rFonts w:hint="eastAsia" w:ascii="仿宋" w:hAnsi="仿宋" w:eastAsia="仿宋" w:cs="仿宋"/>
          <w:spacing w:val="0"/>
          <w:kern w:val="2"/>
          <w:sz w:val="32"/>
          <w:szCs w:val="32"/>
          <w:highlight w:val="none"/>
          <w:lang w:val="en-US" w:eastAsia="zh-CN" w:bidi="ar-SA"/>
        </w:rPr>
        <w:t xml:space="preserve">  </w:t>
      </w:r>
      <w:r>
        <w:rPr>
          <w:rFonts w:hint="eastAsia" w:ascii="仿宋" w:hAnsi="仿宋" w:eastAsia="仿宋" w:cs="仿宋"/>
          <w:kern w:val="0"/>
          <w:sz w:val="32"/>
          <w:szCs w:val="31"/>
          <w:lang w:val="en-US" w:eastAsia="zh-CN" w:bidi="ar"/>
        </w:rPr>
        <w:t>起草单位报送地方性法规、政府规章草案送审稿时，应当报送下列书面材料及其电子文本：</w:t>
      </w:r>
    </w:p>
    <w:p w14:paraId="1704ED18">
      <w:pPr>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kern w:val="0"/>
          <w:sz w:val="32"/>
          <w:szCs w:val="31"/>
          <w:lang w:val="en-US" w:eastAsia="zh-CN" w:bidi="ar"/>
        </w:rPr>
      </w:pPr>
      <w:r>
        <w:rPr>
          <w:rFonts w:hint="eastAsia" w:ascii="仿宋" w:hAnsi="仿宋" w:eastAsia="仿宋" w:cs="仿宋"/>
          <w:kern w:val="0"/>
          <w:sz w:val="32"/>
          <w:szCs w:val="31"/>
          <w:lang w:val="en-US" w:eastAsia="zh-CN" w:bidi="ar"/>
        </w:rPr>
        <w:t>（一）草案送审稿和起草说明；</w:t>
      </w:r>
    </w:p>
    <w:p w14:paraId="6446E7BB">
      <w:pPr>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kern w:val="0"/>
          <w:sz w:val="32"/>
          <w:szCs w:val="31"/>
          <w:lang w:val="en-US" w:eastAsia="zh-CN" w:bidi="ar"/>
        </w:rPr>
      </w:pPr>
      <w:r>
        <w:rPr>
          <w:rFonts w:hint="eastAsia" w:ascii="仿宋" w:hAnsi="仿宋" w:eastAsia="仿宋" w:cs="仿宋"/>
          <w:kern w:val="0"/>
          <w:sz w:val="32"/>
          <w:szCs w:val="31"/>
          <w:lang w:val="en-US" w:eastAsia="zh-CN" w:bidi="ar"/>
        </w:rPr>
        <w:t>（二）征求意见汇总情况以及分歧意见协调处理情况材料；</w:t>
      </w:r>
    </w:p>
    <w:p w14:paraId="25DC89F3">
      <w:pPr>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kern w:val="0"/>
          <w:sz w:val="32"/>
          <w:szCs w:val="31"/>
          <w:lang w:val="en-US" w:eastAsia="zh-CN" w:bidi="ar"/>
        </w:rPr>
      </w:pPr>
      <w:r>
        <w:rPr>
          <w:rFonts w:hint="eastAsia" w:ascii="仿宋" w:hAnsi="仿宋" w:eastAsia="仿宋" w:cs="仿宋"/>
          <w:kern w:val="0"/>
          <w:sz w:val="32"/>
          <w:szCs w:val="31"/>
          <w:lang w:val="en-US" w:eastAsia="zh-CN" w:bidi="ar"/>
        </w:rPr>
        <w:t>（三）立法依据以及立法参阅材料；</w:t>
      </w:r>
    </w:p>
    <w:p w14:paraId="5A603F93">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kern w:val="0"/>
          <w:sz w:val="32"/>
          <w:szCs w:val="31"/>
          <w:lang w:val="en-US" w:eastAsia="zh-CN" w:bidi="ar"/>
        </w:rPr>
      </w:pPr>
      <w:r>
        <w:rPr>
          <w:rFonts w:hint="eastAsia" w:ascii="仿宋" w:hAnsi="仿宋" w:eastAsia="仿宋" w:cs="仿宋"/>
          <w:kern w:val="0"/>
          <w:sz w:val="32"/>
          <w:szCs w:val="31"/>
          <w:lang w:val="en-US" w:eastAsia="zh-CN" w:bidi="ar"/>
        </w:rPr>
        <w:t>（四）调研报告、论证报告、听证报告、风险评估报告等需要提供的其他材料。</w:t>
      </w:r>
    </w:p>
    <w:p w14:paraId="01AD6FD3">
      <w:pPr>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kern w:val="0"/>
          <w:sz w:val="32"/>
          <w:szCs w:val="31"/>
          <w:lang w:val="en-US" w:eastAsia="zh-CN" w:bidi="ar"/>
        </w:rPr>
      </w:pPr>
      <w:r>
        <w:rPr>
          <w:rFonts w:hint="eastAsia" w:ascii="黑体" w:hAnsi="黑体" w:eastAsia="黑体" w:cs="黑体"/>
          <w:spacing w:val="0"/>
          <w:kern w:val="2"/>
          <w:sz w:val="32"/>
          <w:szCs w:val="32"/>
          <w:highlight w:val="none"/>
          <w:lang w:val="en-US" w:eastAsia="zh-CN" w:bidi="ar"/>
        </w:rPr>
        <w:t>第二十</w:t>
      </w:r>
      <w:r>
        <w:rPr>
          <w:rFonts w:hint="eastAsia" w:ascii="黑体" w:hAnsi="黑体" w:eastAsia="黑体" w:cs="黑体"/>
          <w:spacing w:val="0"/>
          <w:kern w:val="2"/>
          <w:sz w:val="32"/>
          <w:szCs w:val="32"/>
          <w:lang w:val="en-US" w:eastAsia="zh-CN" w:bidi="ar"/>
        </w:rPr>
        <w:t>五条</w:t>
      </w:r>
      <w:r>
        <w:rPr>
          <w:rFonts w:hint="eastAsia" w:ascii="仿宋" w:hAnsi="仿宋" w:eastAsia="仿宋" w:cs="仿宋"/>
          <w:spacing w:val="0"/>
          <w:kern w:val="2"/>
          <w:sz w:val="32"/>
          <w:szCs w:val="32"/>
          <w:lang w:val="en-US" w:eastAsia="zh-CN" w:bidi="ar"/>
        </w:rPr>
        <w:t xml:space="preserve">  </w:t>
      </w:r>
      <w:r>
        <w:rPr>
          <w:rFonts w:hint="eastAsia" w:ascii="仿宋" w:hAnsi="仿宋" w:eastAsia="仿宋" w:cs="仿宋"/>
          <w:kern w:val="0"/>
          <w:sz w:val="32"/>
          <w:szCs w:val="31"/>
          <w:lang w:val="en-US" w:eastAsia="zh-CN" w:bidi="ar"/>
        </w:rPr>
        <w:t>地方性法规、政府规章草案送审稿起草说明应当包括以下内容：</w:t>
      </w:r>
    </w:p>
    <w:p w14:paraId="6AB64C88">
      <w:pPr>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kern w:val="0"/>
          <w:sz w:val="32"/>
          <w:szCs w:val="31"/>
          <w:lang w:val="en-US" w:eastAsia="zh-CN" w:bidi="ar"/>
        </w:rPr>
      </w:pPr>
      <w:r>
        <w:rPr>
          <w:rFonts w:hint="eastAsia" w:ascii="仿宋" w:hAnsi="仿宋" w:eastAsia="仿宋" w:cs="仿宋"/>
          <w:kern w:val="0"/>
          <w:sz w:val="32"/>
          <w:szCs w:val="31"/>
          <w:lang w:val="en-US" w:eastAsia="zh-CN" w:bidi="ar"/>
        </w:rPr>
        <w:t>（一）立法的必要性和可行性；</w:t>
      </w:r>
    </w:p>
    <w:p w14:paraId="3B361C44">
      <w:pPr>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kern w:val="0"/>
          <w:sz w:val="32"/>
          <w:szCs w:val="31"/>
          <w:lang w:val="en-US" w:eastAsia="zh-CN" w:bidi="ar"/>
        </w:rPr>
      </w:pPr>
      <w:r>
        <w:rPr>
          <w:rFonts w:hint="eastAsia" w:ascii="仿宋" w:hAnsi="仿宋" w:eastAsia="仿宋" w:cs="仿宋"/>
          <w:kern w:val="0"/>
          <w:sz w:val="32"/>
          <w:szCs w:val="31"/>
          <w:lang w:val="en-US" w:eastAsia="zh-CN" w:bidi="ar"/>
        </w:rPr>
        <w:t>（二）拟规范事项的现状和实践中存在的问题，草案送审稿确立的解决问题的措施及其法律依据；</w:t>
      </w:r>
    </w:p>
    <w:p w14:paraId="0363AEA9">
      <w:pPr>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kern w:val="0"/>
          <w:sz w:val="32"/>
          <w:szCs w:val="31"/>
          <w:lang w:val="en-US" w:eastAsia="zh-CN" w:bidi="ar"/>
        </w:rPr>
      </w:pPr>
      <w:r>
        <w:rPr>
          <w:rFonts w:hint="eastAsia" w:ascii="仿宋" w:hAnsi="仿宋" w:eastAsia="仿宋" w:cs="仿宋"/>
          <w:kern w:val="0"/>
          <w:sz w:val="32"/>
          <w:szCs w:val="31"/>
          <w:lang w:val="en-US" w:eastAsia="zh-CN" w:bidi="ar"/>
        </w:rPr>
        <w:t>（三）送审稿草案的起草过程；</w:t>
      </w:r>
    </w:p>
    <w:p w14:paraId="758005DE">
      <w:pPr>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kern w:val="0"/>
          <w:sz w:val="32"/>
          <w:szCs w:val="31"/>
          <w:lang w:val="en-US" w:eastAsia="zh-CN" w:bidi="ar"/>
        </w:rPr>
      </w:pPr>
      <w:r>
        <w:rPr>
          <w:rFonts w:hint="eastAsia" w:ascii="仿宋" w:hAnsi="仿宋" w:eastAsia="仿宋" w:cs="仿宋"/>
          <w:kern w:val="0"/>
          <w:sz w:val="32"/>
          <w:szCs w:val="31"/>
          <w:lang w:val="en-US" w:eastAsia="zh-CN" w:bidi="ar"/>
        </w:rPr>
        <w:t>（四）相关部门协商情况以及对分歧意见的处理情况；</w:t>
      </w:r>
    </w:p>
    <w:p w14:paraId="375D690E">
      <w:pPr>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kern w:val="0"/>
          <w:sz w:val="32"/>
          <w:szCs w:val="31"/>
          <w:lang w:val="en-US" w:eastAsia="zh-CN" w:bidi="ar"/>
        </w:rPr>
      </w:pPr>
      <w:r>
        <w:rPr>
          <w:rFonts w:hint="eastAsia" w:ascii="仿宋" w:hAnsi="仿宋" w:eastAsia="仿宋" w:cs="仿宋"/>
          <w:kern w:val="0"/>
          <w:sz w:val="32"/>
          <w:szCs w:val="31"/>
          <w:lang w:val="en-US" w:eastAsia="zh-CN" w:bidi="ar"/>
        </w:rPr>
        <w:t>（五）需要说明的其他问题。</w:t>
      </w:r>
    </w:p>
    <w:p w14:paraId="49ECB8FB">
      <w:pPr>
        <w:keepNext w:val="0"/>
        <w:keepLines w:val="0"/>
        <w:pageBreakBefore w:val="0"/>
        <w:widowControl w:val="0"/>
        <w:suppressLineNumbers w:val="0"/>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第四章  审    查</w:t>
      </w:r>
    </w:p>
    <w:p w14:paraId="6F91C198">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1"/>
          <w:lang w:val="en-US" w:eastAsia="zh-CN"/>
        </w:rPr>
      </w:pPr>
      <w:r>
        <w:rPr>
          <w:rFonts w:hint="eastAsia" w:ascii="黑体" w:hAnsi="黑体" w:eastAsia="黑体" w:cs="黑体"/>
          <w:sz w:val="32"/>
          <w:szCs w:val="31"/>
        </w:rPr>
        <w:t>第二十</w:t>
      </w:r>
      <w:r>
        <w:rPr>
          <w:rFonts w:hint="eastAsia" w:ascii="黑体" w:hAnsi="黑体" w:eastAsia="黑体" w:cs="黑体"/>
          <w:sz w:val="32"/>
          <w:szCs w:val="31"/>
          <w:lang w:eastAsia="zh-CN"/>
        </w:rPr>
        <w:t>六</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地方性法规草案送审稿和政府规章草案送审稿由自治区人民政府司法行政部门负责审查。</w:t>
      </w:r>
    </w:p>
    <w:p w14:paraId="3DE41030">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6"/>
          <w:sz w:val="32"/>
          <w:szCs w:val="31"/>
          <w:lang w:val="en-US" w:eastAsia="zh-CN"/>
        </w:rPr>
      </w:pPr>
      <w:r>
        <w:rPr>
          <w:rFonts w:hint="eastAsia" w:ascii="黑体" w:hAnsi="黑体" w:eastAsia="黑体" w:cs="黑体"/>
          <w:sz w:val="32"/>
          <w:szCs w:val="31"/>
        </w:rPr>
        <w:t>第二十</w:t>
      </w:r>
      <w:r>
        <w:rPr>
          <w:rFonts w:hint="eastAsia" w:ascii="黑体" w:hAnsi="黑体" w:eastAsia="黑体" w:cs="黑体"/>
          <w:sz w:val="32"/>
          <w:szCs w:val="31"/>
          <w:lang w:eastAsia="zh-CN"/>
        </w:rPr>
        <w:t>七</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pacing w:val="0"/>
          <w:sz w:val="32"/>
          <w:szCs w:val="31"/>
          <w:lang w:val="en-US" w:eastAsia="zh-CN"/>
        </w:rPr>
        <w:t>地方性法规草案送审稿和政府规章草案送审</w:t>
      </w:r>
      <w:r>
        <w:rPr>
          <w:rFonts w:hint="eastAsia" w:ascii="仿宋" w:hAnsi="仿宋" w:eastAsia="仿宋" w:cs="仿宋"/>
          <w:spacing w:val="6"/>
          <w:sz w:val="32"/>
          <w:szCs w:val="31"/>
          <w:lang w:val="en-US" w:eastAsia="zh-CN"/>
        </w:rPr>
        <w:t>稿有下列情形之一的，自治区人民政府司法行政部门可以暂缓审查：</w:t>
      </w:r>
    </w:p>
    <w:p w14:paraId="52C9550E">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（一）未按照规定公开征求意见的；</w:t>
      </w:r>
    </w:p>
    <w:p w14:paraId="2CD0B5C0">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（二）上位法正在制定或者修改的；</w:t>
      </w:r>
    </w:p>
    <w:p w14:paraId="70325A0B">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（三）有关机构或者部门对草案送审稿存在较大争议，起草单位未与有关机构或者部门充分协商的；</w:t>
      </w:r>
    </w:p>
    <w:p w14:paraId="16F6100B">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（四）未经起草单位主要负责人签署的；</w:t>
      </w:r>
    </w:p>
    <w:p w14:paraId="3A5A7DB4">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（五）起草单位提出暂缓审查书面申请的；</w:t>
      </w:r>
    </w:p>
    <w:p w14:paraId="34FC18A1">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（六）法律、法规规定可以暂缓审查的其他情形。</w:t>
      </w:r>
    </w:p>
    <w:p w14:paraId="59ACC047">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szCs w:val="31"/>
        </w:rPr>
      </w:pPr>
      <w:r>
        <w:rPr>
          <w:rFonts w:hint="eastAsia" w:ascii="黑体" w:hAnsi="黑体" w:eastAsia="黑体" w:cs="黑体"/>
          <w:sz w:val="32"/>
          <w:szCs w:val="31"/>
        </w:rPr>
        <w:t>第二十</w:t>
      </w:r>
      <w:r>
        <w:rPr>
          <w:rFonts w:hint="eastAsia" w:ascii="黑体" w:hAnsi="黑体" w:eastAsia="黑体" w:cs="黑体"/>
          <w:sz w:val="32"/>
          <w:szCs w:val="31"/>
          <w:lang w:eastAsia="zh-CN"/>
        </w:rPr>
        <w:t>八</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地方性法规草案送审稿和政府规章草案送审稿有下列情形之一的，自治区人民政府司法行政部门可以退回起草单位：</w:t>
      </w:r>
    </w:p>
    <w:p w14:paraId="369080F9">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仿宋" w:hAnsi="仿宋" w:eastAsia="仿宋" w:cs="仿宋"/>
          <w:sz w:val="32"/>
          <w:szCs w:val="31"/>
          <w:lang w:eastAsia="zh-CN"/>
        </w:rPr>
        <w:t>（</w:t>
      </w:r>
      <w:r>
        <w:rPr>
          <w:rFonts w:hint="eastAsia" w:ascii="仿宋" w:hAnsi="仿宋" w:eastAsia="仿宋" w:cs="仿宋"/>
          <w:sz w:val="32"/>
          <w:szCs w:val="31"/>
        </w:rPr>
        <w:t>一</w:t>
      </w:r>
      <w:r>
        <w:rPr>
          <w:rFonts w:hint="eastAsia" w:ascii="仿宋" w:hAnsi="仿宋" w:eastAsia="仿宋" w:cs="仿宋"/>
          <w:sz w:val="32"/>
          <w:szCs w:val="31"/>
          <w:lang w:eastAsia="zh-CN"/>
        </w:rPr>
        <w:t>）</w:t>
      </w:r>
      <w:r>
        <w:rPr>
          <w:rFonts w:hint="eastAsia" w:ascii="仿宋" w:hAnsi="仿宋" w:eastAsia="仿宋" w:cs="仿宋"/>
          <w:sz w:val="32"/>
          <w:szCs w:val="31"/>
        </w:rPr>
        <w:t>立法条件尚不成熟或者发生重大变化的；</w:t>
      </w:r>
    </w:p>
    <w:p w14:paraId="55A28E0C">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仿宋" w:hAnsi="仿宋" w:eastAsia="仿宋" w:cs="仿宋"/>
          <w:sz w:val="32"/>
          <w:szCs w:val="31"/>
          <w:lang w:eastAsia="zh-CN"/>
        </w:rPr>
        <w:t>（</w:t>
      </w:r>
      <w:r>
        <w:rPr>
          <w:rFonts w:hint="eastAsia" w:ascii="仿宋" w:hAnsi="仿宋" w:eastAsia="仿宋" w:cs="仿宋"/>
          <w:sz w:val="32"/>
          <w:szCs w:val="31"/>
        </w:rPr>
        <w:t>二</w:t>
      </w:r>
      <w:r>
        <w:rPr>
          <w:rFonts w:hint="eastAsia" w:ascii="仿宋" w:hAnsi="仿宋" w:eastAsia="仿宋" w:cs="仿宋"/>
          <w:sz w:val="32"/>
          <w:szCs w:val="31"/>
          <w:lang w:eastAsia="zh-CN"/>
        </w:rPr>
        <w:t>）</w:t>
      </w:r>
      <w:r>
        <w:rPr>
          <w:rFonts w:hint="eastAsia" w:ascii="仿宋" w:hAnsi="仿宋" w:eastAsia="仿宋" w:cs="仿宋"/>
          <w:sz w:val="32"/>
          <w:szCs w:val="31"/>
        </w:rPr>
        <w:t>可以通过规范性文件解决问题的；</w:t>
      </w:r>
    </w:p>
    <w:p w14:paraId="44970658">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仿宋" w:hAnsi="仿宋" w:eastAsia="仿宋" w:cs="仿宋"/>
          <w:sz w:val="32"/>
          <w:szCs w:val="31"/>
          <w:lang w:eastAsia="zh-CN"/>
        </w:rPr>
        <w:t>（</w:t>
      </w:r>
      <w:r>
        <w:rPr>
          <w:rFonts w:hint="eastAsia" w:ascii="仿宋" w:hAnsi="仿宋" w:eastAsia="仿宋" w:cs="仿宋"/>
          <w:sz w:val="32"/>
          <w:szCs w:val="31"/>
        </w:rPr>
        <w:t>三</w:t>
      </w:r>
      <w:r>
        <w:rPr>
          <w:rFonts w:hint="eastAsia" w:ascii="仿宋" w:hAnsi="仿宋" w:eastAsia="仿宋" w:cs="仿宋"/>
          <w:sz w:val="32"/>
          <w:szCs w:val="31"/>
          <w:lang w:eastAsia="zh-CN"/>
        </w:rPr>
        <w:t>）</w:t>
      </w:r>
      <w:r>
        <w:rPr>
          <w:rFonts w:hint="eastAsia" w:ascii="仿宋" w:hAnsi="仿宋" w:eastAsia="仿宋" w:cs="仿宋"/>
          <w:sz w:val="32"/>
          <w:szCs w:val="31"/>
        </w:rPr>
        <w:t>存在重大合法性、合理性问题的；</w:t>
      </w:r>
    </w:p>
    <w:p w14:paraId="366B8101">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仿宋" w:hAnsi="仿宋" w:eastAsia="仿宋" w:cs="仿宋"/>
          <w:sz w:val="32"/>
          <w:szCs w:val="31"/>
          <w:lang w:eastAsia="zh-CN"/>
        </w:rPr>
        <w:t>（</w:t>
      </w:r>
      <w:r>
        <w:rPr>
          <w:rFonts w:hint="eastAsia" w:ascii="仿宋" w:hAnsi="仿宋" w:eastAsia="仿宋" w:cs="仿宋"/>
          <w:sz w:val="32"/>
          <w:szCs w:val="31"/>
        </w:rPr>
        <w:t>四</w:t>
      </w:r>
      <w:r>
        <w:rPr>
          <w:rFonts w:hint="eastAsia" w:ascii="仿宋" w:hAnsi="仿宋" w:eastAsia="仿宋" w:cs="仿宋"/>
          <w:sz w:val="32"/>
          <w:szCs w:val="31"/>
          <w:lang w:eastAsia="zh-CN"/>
        </w:rPr>
        <w:t>）</w:t>
      </w:r>
      <w:r>
        <w:rPr>
          <w:rFonts w:hint="eastAsia" w:ascii="仿宋" w:hAnsi="仿宋" w:eastAsia="仿宋" w:cs="仿宋"/>
          <w:sz w:val="32"/>
          <w:szCs w:val="31"/>
        </w:rPr>
        <w:t>法律、法规规定可以退回的其他情形。</w:t>
      </w:r>
    </w:p>
    <w:p w14:paraId="25C54823">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黑体" w:hAnsi="黑体" w:eastAsia="黑体" w:cs="黑体"/>
          <w:sz w:val="32"/>
          <w:szCs w:val="31"/>
        </w:rPr>
        <w:t>第二十</w:t>
      </w:r>
      <w:r>
        <w:rPr>
          <w:rFonts w:hint="eastAsia" w:ascii="黑体" w:hAnsi="黑体" w:eastAsia="黑体" w:cs="黑体"/>
          <w:sz w:val="32"/>
          <w:szCs w:val="31"/>
          <w:lang w:eastAsia="zh-CN"/>
        </w:rPr>
        <w:t>九</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自治区人民政府司法行政部门暂缓审查或者退回地方性法规草案送审稿和政府规章草案送审稿的，应当书面告知起草单位并说明理由。</w:t>
      </w:r>
    </w:p>
    <w:p w14:paraId="1DF2A899">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黑体" w:hAnsi="黑体" w:eastAsia="黑体" w:cs="黑体"/>
          <w:sz w:val="32"/>
          <w:szCs w:val="31"/>
        </w:rPr>
        <w:t>第</w:t>
      </w:r>
      <w:r>
        <w:rPr>
          <w:rFonts w:hint="eastAsia" w:ascii="黑体" w:hAnsi="黑体" w:eastAsia="黑体" w:cs="黑体"/>
          <w:sz w:val="32"/>
          <w:szCs w:val="31"/>
          <w:lang w:eastAsia="zh-CN"/>
        </w:rPr>
        <w:t>三十</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自治区人民政府司法行政部门审查地方性法规草案送审稿和政府规章草案送审稿以及说明，可以向社会公布，征求意见。向社会公布征求意见的期限一般不少于三十日。</w:t>
      </w:r>
    </w:p>
    <w:p w14:paraId="4AA1ECE9">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黑体" w:hAnsi="黑体" w:eastAsia="黑体" w:cs="黑体"/>
          <w:sz w:val="32"/>
          <w:szCs w:val="31"/>
        </w:rPr>
        <w:t>第</w:t>
      </w:r>
      <w:r>
        <w:rPr>
          <w:rFonts w:hint="eastAsia" w:ascii="黑体" w:hAnsi="黑体" w:eastAsia="黑体" w:cs="黑体"/>
          <w:sz w:val="32"/>
          <w:szCs w:val="31"/>
          <w:lang w:eastAsia="zh-CN"/>
        </w:rPr>
        <w:t>三十一</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地方性法规草案送审稿和政府规章草案送审稿涉及重大利益调整的，自治区人民政府司法行政部门应当进行论证咨询，广泛听取有关方面的意见。</w:t>
      </w:r>
    </w:p>
    <w:p w14:paraId="3ED0F987">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仿宋" w:hAnsi="仿宋" w:eastAsia="仿宋" w:cs="仿宋"/>
          <w:sz w:val="32"/>
          <w:szCs w:val="31"/>
        </w:rPr>
        <w:t>论证咨询可以采取座谈会、论证会、听证会、委托研究等多种形式。</w:t>
      </w:r>
    </w:p>
    <w:p w14:paraId="4333AD23">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sz w:val="32"/>
        </w:rPr>
      </w:pPr>
      <w:r>
        <w:rPr>
          <w:rFonts w:hint="eastAsia" w:ascii="仿宋" w:hAnsi="仿宋" w:eastAsia="仿宋" w:cs="仿宋"/>
          <w:sz w:val="32"/>
          <w:szCs w:val="31"/>
          <w:lang w:val="en-US" w:eastAsia="zh-CN"/>
        </w:rPr>
        <w:t xml:space="preserve">  </w:t>
      </w: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第</w:t>
      </w:r>
      <w:r>
        <w:rPr>
          <w:rFonts w:hint="eastAsia" w:ascii="黑体" w:hAnsi="黑体" w:eastAsia="黑体" w:cs="黑体"/>
          <w:sz w:val="32"/>
          <w:szCs w:val="31"/>
          <w:lang w:eastAsia="zh-CN"/>
        </w:rPr>
        <w:t>三十二</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有关机构或者部门对地方性法规草案送审稿和政府规章草案送审稿涉及的主要措施、管理体制、权限分工等问题有不同意见的，自治区人民政府司法行政部门应当进行协调，力求达成一致意见。对有较大争议的重要事项，自治区人民政府司法行政部门可以委托有关专家、教学科研单位、社会组织进行评估。</w:t>
      </w:r>
    </w:p>
    <w:p w14:paraId="32E88ABF">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sz w:val="32"/>
        </w:rPr>
      </w:pP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经过充分协调不能达成一致意见的，自治区人民政府司法行政部门应当将主要问题、有关机构或者部门的意见和自治区人民政府司法行政部门的意见及时报自治区人民政府有关领导协调，或者报自治区人民政府决定。</w:t>
      </w:r>
    </w:p>
    <w:p w14:paraId="1ABE59CC">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sz w:val="32"/>
        </w:rPr>
      </w:pPr>
      <w:r>
        <w:rPr>
          <w:rFonts w:hint="eastAsia" w:ascii="仿宋" w:hAnsi="仿宋" w:eastAsia="仿宋" w:cs="仿宋"/>
          <w:sz w:val="32"/>
          <w:szCs w:val="31"/>
          <w:lang w:val="en-US" w:eastAsia="zh-CN"/>
        </w:rPr>
        <w:t xml:space="preserve">  </w:t>
      </w: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第</w:t>
      </w:r>
      <w:r>
        <w:rPr>
          <w:rFonts w:hint="eastAsia" w:ascii="黑体" w:hAnsi="黑体" w:eastAsia="黑体" w:cs="黑体"/>
          <w:sz w:val="32"/>
          <w:szCs w:val="31"/>
          <w:lang w:eastAsia="zh-CN"/>
        </w:rPr>
        <w:t>三十三</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自治区人民政府司法行政部门应当认真研究各方面的意见，与起草单位协商后，对地方性法规草案送审稿和政府规章草案送审稿进行修改，形成草案和对草案的说明。</w:t>
      </w:r>
    </w:p>
    <w:p w14:paraId="40935BB5">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sz w:val="32"/>
        </w:rPr>
      </w:pP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地方性法规草案和政府规章草案以及说明由自治区人民政府司法行政部门主要负责人签署，提请自治区人民政府审议。</w:t>
      </w:r>
    </w:p>
    <w:p w14:paraId="47FF6912">
      <w:pPr>
        <w:pStyle w:val="23"/>
        <w:keepNext w:val="0"/>
        <w:keepLines w:val="0"/>
        <w:pageBreakBefore w:val="0"/>
        <w:widowControl w:val="0"/>
        <w:suppressLineNumbers w:val="0"/>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firstLine="0" w:firstLineChars="0"/>
        <w:jc w:val="center"/>
        <w:textAlignment w:val="auto"/>
        <w:rPr>
          <w:rFonts w:hint="eastAsia" w:ascii="黑体" w:hAnsi="黑体" w:eastAsia="黑体" w:cs="黑体"/>
          <w:sz w:val="32"/>
        </w:rPr>
      </w:pPr>
      <w:r>
        <w:rPr>
          <w:rFonts w:hint="eastAsia" w:ascii="黑体" w:hAnsi="黑体" w:eastAsia="黑体" w:cs="黑体"/>
          <w:sz w:val="32"/>
          <w:szCs w:val="31"/>
        </w:rPr>
        <w:t>第五章</w:t>
      </w: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决定与公布</w:t>
      </w:r>
    </w:p>
    <w:p w14:paraId="5412D1A1">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sz w:val="32"/>
        </w:rPr>
      </w:pP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第三十</w:t>
      </w:r>
      <w:r>
        <w:rPr>
          <w:rFonts w:hint="eastAsia" w:ascii="黑体" w:hAnsi="黑体" w:eastAsia="黑体" w:cs="黑体"/>
          <w:sz w:val="32"/>
          <w:szCs w:val="31"/>
          <w:lang w:eastAsia="zh-CN"/>
        </w:rPr>
        <w:t>四</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自治区人民政府审议地方性法规草案和政府规章草案时，由自治区人民政府司法行政部门作说明，也可以由起草单位作说明。</w:t>
      </w:r>
    </w:p>
    <w:p w14:paraId="543E76B8">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sz w:val="32"/>
        </w:rPr>
      </w:pPr>
      <w:r>
        <w:rPr>
          <w:rFonts w:hint="eastAsia" w:ascii="仿宋" w:hAnsi="仿宋" w:eastAsia="仿宋" w:cs="仿宋"/>
          <w:sz w:val="32"/>
          <w:szCs w:val="31"/>
          <w:lang w:val="en-US" w:eastAsia="zh-CN"/>
        </w:rPr>
        <w:t xml:space="preserve">   </w:t>
      </w: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第三十</w:t>
      </w:r>
      <w:r>
        <w:rPr>
          <w:rFonts w:hint="eastAsia" w:ascii="黑体" w:hAnsi="黑体" w:eastAsia="黑体" w:cs="黑体"/>
          <w:sz w:val="32"/>
          <w:szCs w:val="31"/>
          <w:lang w:eastAsia="zh-CN"/>
        </w:rPr>
        <w:t>五</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地方性法规草案经自治区人民政府常务会议或者全体会议决定，由自治区主席签署议案，提请自治区人民代表大会或者自治区人民代表大会常务委员会审议。</w:t>
      </w:r>
    </w:p>
    <w:p w14:paraId="21587F9E">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sz w:val="32"/>
        </w:rPr>
      </w:pPr>
      <w:r>
        <w:rPr>
          <w:rFonts w:hint="eastAsia" w:ascii="仿宋" w:hAnsi="仿宋" w:eastAsia="仿宋" w:cs="仿宋"/>
          <w:sz w:val="32"/>
          <w:szCs w:val="31"/>
          <w:lang w:val="en-US" w:eastAsia="zh-CN"/>
        </w:rPr>
        <w:t xml:space="preserve">  </w:t>
      </w: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第三十</w:t>
      </w:r>
      <w:r>
        <w:rPr>
          <w:rFonts w:hint="eastAsia" w:ascii="黑体" w:hAnsi="黑体" w:eastAsia="黑体" w:cs="黑体"/>
          <w:sz w:val="32"/>
          <w:szCs w:val="31"/>
          <w:lang w:eastAsia="zh-CN"/>
        </w:rPr>
        <w:t>六</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政府规章经自治区人民政府常务会议或者全体会议决定，由自治区主席签署命令予以公布。</w:t>
      </w:r>
    </w:p>
    <w:p w14:paraId="404C68A0">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sz w:val="32"/>
        </w:rPr>
      </w:pPr>
      <w:r>
        <w:rPr>
          <w:rFonts w:hint="eastAsia" w:ascii="仿宋" w:hAnsi="仿宋" w:eastAsia="仿宋" w:cs="仿宋"/>
          <w:sz w:val="32"/>
          <w:szCs w:val="31"/>
          <w:lang w:val="en-US" w:eastAsia="zh-CN"/>
        </w:rPr>
        <w:t xml:space="preserve">    </w:t>
      </w:r>
      <w:r>
        <w:rPr>
          <w:rFonts w:hint="eastAsia" w:ascii="黑体" w:hAnsi="黑体" w:eastAsia="黑体" w:cs="黑体"/>
          <w:sz w:val="32"/>
          <w:szCs w:val="31"/>
        </w:rPr>
        <w:t>第三十</w:t>
      </w:r>
      <w:r>
        <w:rPr>
          <w:rFonts w:hint="eastAsia" w:ascii="黑体" w:hAnsi="黑体" w:eastAsia="黑体" w:cs="黑体"/>
          <w:sz w:val="32"/>
          <w:szCs w:val="31"/>
          <w:lang w:eastAsia="zh-CN"/>
        </w:rPr>
        <w:t>七</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公布政府规章的命令应当载明制定机关、序号、规章名称、通过日期、施行日期、自治区主席署名以及公布日期。</w:t>
      </w:r>
    </w:p>
    <w:p w14:paraId="3C52F6F2">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sz w:val="32"/>
          <w:szCs w:val="31"/>
          <w:lang w:val="en-US" w:eastAsia="zh-CN"/>
        </w:rPr>
      </w:pP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第三十</w:t>
      </w:r>
      <w:r>
        <w:rPr>
          <w:rFonts w:hint="eastAsia" w:ascii="黑体" w:hAnsi="黑体" w:eastAsia="黑体" w:cs="黑体"/>
          <w:sz w:val="32"/>
          <w:szCs w:val="31"/>
          <w:lang w:eastAsia="zh-CN"/>
        </w:rPr>
        <w:t>八</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政府规章签署公布后，应当及时在《内蒙古自治区人民政府公报》和中国政府法制信息网以及《内蒙古日报》、自治区人民政府门户网站刊载。</w:t>
      </w:r>
    </w:p>
    <w:p w14:paraId="05215272">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420"/>
        <w:jc w:val="both"/>
        <w:textAlignment w:val="auto"/>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在《内蒙古自治区人民政府公报》上刊载的政府规章文本为标准文本。</w:t>
      </w:r>
    </w:p>
    <w:p w14:paraId="264A3E53">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sz w:val="32"/>
          <w:szCs w:val="31"/>
        </w:rPr>
      </w:pP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第三十</w:t>
      </w:r>
      <w:r>
        <w:rPr>
          <w:rFonts w:hint="eastAsia" w:ascii="黑体" w:hAnsi="黑体" w:eastAsia="黑体" w:cs="黑体"/>
          <w:sz w:val="32"/>
          <w:szCs w:val="31"/>
          <w:lang w:eastAsia="zh-CN"/>
        </w:rPr>
        <w:t>九</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政府规章应当自公布之日起三十日后施行；涉及国家安全或者公布后不立即施行将有碍政府规章施行等法定情形的，可以自公布之日起施行。</w:t>
      </w:r>
    </w:p>
    <w:p w14:paraId="68ABEA89">
      <w:pPr>
        <w:pStyle w:val="23"/>
        <w:keepNext w:val="0"/>
        <w:keepLines w:val="0"/>
        <w:pageBreakBefore w:val="0"/>
        <w:widowControl w:val="0"/>
        <w:suppressLineNumbers w:val="0"/>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firstLine="0" w:firstLineChars="0"/>
        <w:jc w:val="center"/>
        <w:textAlignment w:val="auto"/>
        <w:rPr>
          <w:rFonts w:hint="eastAsia" w:ascii="黑体" w:hAnsi="黑体" w:eastAsia="黑体" w:cs="黑体"/>
          <w:sz w:val="32"/>
        </w:rPr>
      </w:pPr>
      <w:r>
        <w:rPr>
          <w:rFonts w:hint="eastAsia" w:ascii="黑体" w:hAnsi="黑体" w:eastAsia="黑体" w:cs="黑体"/>
          <w:sz w:val="32"/>
          <w:szCs w:val="31"/>
        </w:rPr>
        <w:t>第六章</w:t>
      </w: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备案、解释、评估</w:t>
      </w:r>
    </w:p>
    <w:p w14:paraId="57086270">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spacing w:val="0"/>
          <w:kern w:val="2"/>
          <w:sz w:val="32"/>
          <w:szCs w:val="32"/>
          <w:lang w:val="en-US" w:eastAsia="zh-CN"/>
        </w:rPr>
      </w:pPr>
      <w:r>
        <w:rPr>
          <w:rFonts w:hint="eastAsia" w:ascii="仿宋" w:hAnsi="仿宋" w:eastAsia="仿宋" w:cs="仿宋"/>
          <w:sz w:val="32"/>
          <w:szCs w:val="31"/>
          <w:lang w:val="en-US" w:eastAsia="zh-CN"/>
        </w:rPr>
        <w:t xml:space="preserve"> </w:t>
      </w: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第</w:t>
      </w:r>
      <w:r>
        <w:rPr>
          <w:rFonts w:hint="eastAsia" w:ascii="黑体" w:hAnsi="黑体" w:eastAsia="黑体" w:cs="黑体"/>
          <w:sz w:val="32"/>
          <w:szCs w:val="31"/>
          <w:lang w:eastAsia="zh-CN"/>
        </w:rPr>
        <w:t>四十</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kern w:val="0"/>
          <w:sz w:val="32"/>
          <w:szCs w:val="31"/>
          <w:lang w:val="en-US" w:eastAsia="zh-CN" w:bidi="ar"/>
        </w:rPr>
        <w:t>政府规章应当在公布之后三十日内，向国务院和自治区人民代表大会常务委员会备案。自治区人民政府司法行政部门具体负责政府规章备案工作。</w:t>
      </w:r>
    </w:p>
    <w:p w14:paraId="7182A00A">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sz w:val="32"/>
        </w:rPr>
      </w:pPr>
      <w:r>
        <w:rPr>
          <w:rFonts w:hint="eastAsia" w:ascii="仿宋" w:hAnsi="仿宋" w:eastAsia="仿宋" w:cs="仿宋"/>
          <w:sz w:val="32"/>
          <w:szCs w:val="31"/>
          <w:lang w:val="en-US" w:eastAsia="zh-CN"/>
        </w:rPr>
        <w:t xml:space="preserve">  </w:t>
      </w: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第</w:t>
      </w:r>
      <w:r>
        <w:rPr>
          <w:rFonts w:hint="eastAsia" w:ascii="黑体" w:hAnsi="黑体" w:eastAsia="黑体" w:cs="黑体"/>
          <w:sz w:val="32"/>
          <w:szCs w:val="31"/>
          <w:lang w:eastAsia="zh-CN"/>
        </w:rPr>
        <w:t>四十一</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政府规章解释权属于自治区人民政府。</w:t>
      </w:r>
    </w:p>
    <w:p w14:paraId="4365E966">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sz w:val="32"/>
        </w:rPr>
      </w:pP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政府规章的规定需要进一步明确具体含义，或者政府规章制定后出现新的情况需要明确适用政府规章依据的，由政府规章实施机关提出解释意见并经自治区人民政府司法行政部门审查，也可以由自治区人民政府司法行政部门直接提出意见，报请自治区人民政府批准后公布。</w:t>
      </w:r>
    </w:p>
    <w:p w14:paraId="0363DC51">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sz w:val="32"/>
        </w:rPr>
      </w:pP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政府规章的解释同政府规章具有同等效力。</w:t>
      </w:r>
    </w:p>
    <w:p w14:paraId="47DDF29C">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sz w:val="32"/>
        </w:rPr>
      </w:pP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第</w:t>
      </w:r>
      <w:r>
        <w:rPr>
          <w:rFonts w:hint="eastAsia" w:ascii="黑体" w:hAnsi="黑体" w:eastAsia="黑体" w:cs="黑体"/>
          <w:sz w:val="32"/>
          <w:szCs w:val="31"/>
          <w:lang w:eastAsia="zh-CN"/>
        </w:rPr>
        <w:t>四十二</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自治区人民政府可以组织对政府规章或者政府规章的有关规定进行立法后评估，并把评估结果作为修改、废止有关政府规章的重要参考。</w:t>
      </w:r>
    </w:p>
    <w:p w14:paraId="1871EE0F">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sz w:val="32"/>
        </w:rPr>
      </w:pPr>
      <w:r>
        <w:rPr>
          <w:rFonts w:hint="eastAsia" w:ascii="仿宋" w:hAnsi="仿宋" w:eastAsia="仿宋" w:cs="仿宋"/>
          <w:sz w:val="32"/>
          <w:szCs w:val="31"/>
          <w:lang w:val="en-US" w:eastAsia="zh-CN"/>
        </w:rPr>
        <w:t xml:space="preserve">    </w:t>
      </w:r>
      <w:r>
        <w:rPr>
          <w:rFonts w:hint="eastAsia" w:ascii="黑体" w:hAnsi="黑体" w:eastAsia="黑体" w:cs="黑体"/>
          <w:sz w:val="32"/>
          <w:szCs w:val="31"/>
        </w:rPr>
        <w:t>第</w:t>
      </w:r>
      <w:r>
        <w:rPr>
          <w:rFonts w:hint="eastAsia" w:ascii="黑体" w:hAnsi="黑体" w:eastAsia="黑体" w:cs="黑体"/>
          <w:sz w:val="32"/>
          <w:szCs w:val="31"/>
          <w:lang w:eastAsia="zh-CN"/>
        </w:rPr>
        <w:t>四十三</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政府规章有下列情形之一的，政府规章实施机关应当开展立法后评估。必要时，自治区人民政府司法行政部门可以会同政府规章实施机关开展评估：</w:t>
      </w:r>
    </w:p>
    <w:p w14:paraId="61F40A41">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仿宋" w:hAnsi="仿宋" w:eastAsia="仿宋" w:cs="仿宋"/>
          <w:sz w:val="32"/>
          <w:szCs w:val="31"/>
          <w:lang w:eastAsia="zh-CN"/>
        </w:rPr>
        <w:t>（</w:t>
      </w:r>
      <w:r>
        <w:rPr>
          <w:rFonts w:hint="eastAsia" w:ascii="仿宋" w:hAnsi="仿宋" w:eastAsia="仿宋" w:cs="仿宋"/>
          <w:sz w:val="32"/>
          <w:szCs w:val="31"/>
        </w:rPr>
        <w:t>一</w:t>
      </w:r>
      <w:r>
        <w:rPr>
          <w:rFonts w:hint="eastAsia" w:ascii="仿宋" w:hAnsi="仿宋" w:eastAsia="仿宋" w:cs="仿宋"/>
          <w:sz w:val="32"/>
          <w:szCs w:val="31"/>
          <w:lang w:eastAsia="zh-CN"/>
        </w:rPr>
        <w:t>）</w:t>
      </w:r>
      <w:r>
        <w:rPr>
          <w:rFonts w:hint="eastAsia" w:ascii="仿宋" w:hAnsi="仿宋" w:eastAsia="仿宋" w:cs="仿宋"/>
          <w:sz w:val="32"/>
          <w:szCs w:val="31"/>
        </w:rPr>
        <w:t>拟上升为地方性法规的；</w:t>
      </w:r>
    </w:p>
    <w:p w14:paraId="07FD0112">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仿宋" w:hAnsi="仿宋" w:eastAsia="仿宋" w:cs="仿宋"/>
          <w:sz w:val="32"/>
          <w:szCs w:val="31"/>
          <w:lang w:eastAsia="zh-CN"/>
        </w:rPr>
        <w:t>（</w:t>
      </w:r>
      <w:r>
        <w:rPr>
          <w:rFonts w:hint="eastAsia" w:ascii="仿宋" w:hAnsi="仿宋" w:eastAsia="仿宋" w:cs="仿宋"/>
          <w:sz w:val="32"/>
          <w:szCs w:val="31"/>
        </w:rPr>
        <w:t>二</w:t>
      </w:r>
      <w:r>
        <w:rPr>
          <w:rFonts w:hint="eastAsia" w:ascii="仿宋" w:hAnsi="仿宋" w:eastAsia="仿宋" w:cs="仿宋"/>
          <w:sz w:val="32"/>
          <w:szCs w:val="31"/>
          <w:lang w:eastAsia="zh-CN"/>
        </w:rPr>
        <w:t>）</w:t>
      </w:r>
      <w:r>
        <w:rPr>
          <w:rFonts w:hint="eastAsia" w:ascii="仿宋" w:hAnsi="仿宋" w:eastAsia="仿宋" w:cs="仿宋"/>
          <w:sz w:val="32"/>
          <w:szCs w:val="31"/>
        </w:rPr>
        <w:t>拟作出重大修改的；</w:t>
      </w:r>
    </w:p>
    <w:p w14:paraId="687AD112">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仿宋" w:hAnsi="仿宋" w:eastAsia="仿宋" w:cs="仿宋"/>
          <w:sz w:val="32"/>
          <w:szCs w:val="31"/>
          <w:lang w:eastAsia="zh-CN"/>
        </w:rPr>
        <w:t>（</w:t>
      </w:r>
      <w:r>
        <w:rPr>
          <w:rFonts w:hint="eastAsia" w:ascii="仿宋" w:hAnsi="仿宋" w:eastAsia="仿宋" w:cs="仿宋"/>
          <w:sz w:val="32"/>
          <w:szCs w:val="31"/>
        </w:rPr>
        <w:t>三</w:t>
      </w:r>
      <w:r>
        <w:rPr>
          <w:rFonts w:hint="eastAsia" w:ascii="仿宋" w:hAnsi="仿宋" w:eastAsia="仿宋" w:cs="仿宋"/>
          <w:sz w:val="32"/>
          <w:szCs w:val="31"/>
          <w:lang w:eastAsia="zh-CN"/>
        </w:rPr>
        <w:t>）</w:t>
      </w:r>
      <w:r>
        <w:rPr>
          <w:rFonts w:hint="eastAsia" w:ascii="仿宋" w:hAnsi="仿宋" w:eastAsia="仿宋" w:cs="仿宋"/>
          <w:sz w:val="32"/>
          <w:szCs w:val="31"/>
        </w:rPr>
        <w:t>拟废止但有较大争议的；</w:t>
      </w:r>
    </w:p>
    <w:p w14:paraId="6198F70C">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仿宋" w:hAnsi="仿宋" w:eastAsia="仿宋" w:cs="仿宋"/>
          <w:sz w:val="32"/>
          <w:szCs w:val="31"/>
          <w:lang w:eastAsia="zh-CN"/>
        </w:rPr>
        <w:t>（</w:t>
      </w:r>
      <w:r>
        <w:rPr>
          <w:rFonts w:hint="eastAsia" w:ascii="仿宋" w:hAnsi="仿宋" w:eastAsia="仿宋" w:cs="仿宋"/>
          <w:sz w:val="32"/>
          <w:szCs w:val="31"/>
        </w:rPr>
        <w:t>四</w:t>
      </w:r>
      <w:r>
        <w:rPr>
          <w:rFonts w:hint="eastAsia" w:ascii="仿宋" w:hAnsi="仿宋" w:eastAsia="仿宋" w:cs="仿宋"/>
          <w:sz w:val="32"/>
          <w:szCs w:val="31"/>
          <w:lang w:eastAsia="zh-CN"/>
        </w:rPr>
        <w:t>）</w:t>
      </w:r>
      <w:r>
        <w:rPr>
          <w:rFonts w:hint="eastAsia" w:ascii="仿宋" w:hAnsi="仿宋" w:eastAsia="仿宋" w:cs="仿宋"/>
          <w:sz w:val="32"/>
          <w:szCs w:val="31"/>
        </w:rPr>
        <w:t>与经济社会发展或者公众利益密切相关，且实施满五年的；</w:t>
      </w:r>
    </w:p>
    <w:p w14:paraId="76AF93C1">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pacing w:val="-11"/>
          <w:sz w:val="32"/>
        </w:rPr>
      </w:pPr>
      <w:r>
        <w:rPr>
          <w:rFonts w:hint="eastAsia" w:ascii="仿宋" w:hAnsi="仿宋" w:eastAsia="仿宋" w:cs="仿宋"/>
          <w:sz w:val="32"/>
          <w:szCs w:val="31"/>
          <w:lang w:eastAsia="zh-CN"/>
        </w:rPr>
        <w:t>（</w:t>
      </w:r>
      <w:r>
        <w:rPr>
          <w:rFonts w:hint="eastAsia" w:ascii="仿宋" w:hAnsi="仿宋" w:eastAsia="仿宋" w:cs="仿宋"/>
          <w:sz w:val="32"/>
          <w:szCs w:val="31"/>
        </w:rPr>
        <w:t>五</w:t>
      </w:r>
      <w:r>
        <w:rPr>
          <w:rFonts w:hint="eastAsia" w:ascii="仿宋" w:hAnsi="仿宋" w:eastAsia="仿宋" w:cs="仿宋"/>
          <w:sz w:val="32"/>
          <w:szCs w:val="31"/>
          <w:lang w:eastAsia="zh-CN"/>
        </w:rPr>
        <w:t>）</w:t>
      </w:r>
      <w:r>
        <w:rPr>
          <w:rFonts w:hint="eastAsia" w:ascii="仿宋" w:hAnsi="仿宋" w:eastAsia="仿宋" w:cs="仿宋"/>
          <w:spacing w:val="-11"/>
          <w:sz w:val="32"/>
          <w:szCs w:val="31"/>
        </w:rPr>
        <w:t>人大代表、政协委员以及社会公众反映问题较为集中的；</w:t>
      </w:r>
    </w:p>
    <w:p w14:paraId="744DE1E7">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sz w:val="32"/>
        </w:rPr>
      </w:pPr>
      <w:r>
        <w:rPr>
          <w:rFonts w:hint="eastAsia" w:ascii="仿宋" w:hAnsi="仿宋" w:eastAsia="仿宋" w:cs="仿宋"/>
          <w:sz w:val="32"/>
          <w:szCs w:val="31"/>
          <w:lang w:eastAsia="zh-CN"/>
        </w:rPr>
        <w:t>（</w:t>
      </w:r>
      <w:r>
        <w:rPr>
          <w:rFonts w:hint="eastAsia" w:ascii="仿宋" w:hAnsi="仿宋" w:eastAsia="仿宋" w:cs="仿宋"/>
          <w:sz w:val="32"/>
          <w:szCs w:val="31"/>
        </w:rPr>
        <w:t>六</w:t>
      </w:r>
      <w:r>
        <w:rPr>
          <w:rFonts w:hint="eastAsia" w:ascii="仿宋" w:hAnsi="仿宋" w:eastAsia="仿宋" w:cs="仿宋"/>
          <w:sz w:val="32"/>
          <w:szCs w:val="31"/>
          <w:lang w:eastAsia="zh-CN"/>
        </w:rPr>
        <w:t>）</w:t>
      </w:r>
      <w:r>
        <w:rPr>
          <w:rFonts w:hint="eastAsia" w:ascii="仿宋" w:hAnsi="仿宋" w:eastAsia="仿宋" w:cs="仿宋"/>
          <w:sz w:val="32"/>
          <w:szCs w:val="31"/>
        </w:rPr>
        <w:t>其他需要评估的情形。</w:t>
      </w:r>
    </w:p>
    <w:p w14:paraId="5FF10D01">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 w:cs="仿宋"/>
          <w:sz w:val="32"/>
        </w:rPr>
      </w:pPr>
      <w:r>
        <w:rPr>
          <w:rFonts w:hint="eastAsia" w:ascii="仿宋" w:hAnsi="仿宋" w:eastAsia="仿宋" w:cs="仿宋"/>
          <w:sz w:val="32"/>
          <w:szCs w:val="31"/>
        </w:rPr>
        <w:t>政府规章实施机关或者自治区人民政府司法行政部门可以委托有关专家、教学科研单位、社会组织进行立法后评估。</w:t>
      </w:r>
    </w:p>
    <w:p w14:paraId="39D0E157">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 w:cs="仿宋"/>
          <w:sz w:val="32"/>
        </w:rPr>
      </w:pPr>
      <w:r>
        <w:rPr>
          <w:rFonts w:hint="eastAsia" w:ascii="仿宋" w:hAnsi="仿宋" w:eastAsia="仿宋" w:cs="仿宋"/>
          <w:sz w:val="32"/>
          <w:szCs w:val="31"/>
        </w:rPr>
        <w:t>因上位法调整或者遇到紧急情况需要修改政府规章的，可以不开展立法后评估。</w:t>
      </w:r>
    </w:p>
    <w:p w14:paraId="3D1C9AFA">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jc w:val="both"/>
        <w:textAlignment w:val="auto"/>
        <w:outlineLvl w:val="9"/>
        <w:rPr>
          <w:rFonts w:hint="eastAsia" w:ascii="仿宋" w:hAnsi="仿宋" w:eastAsia="仿宋" w:cs="仿宋"/>
          <w:sz w:val="32"/>
        </w:rPr>
      </w:pPr>
      <w:r>
        <w:rPr>
          <w:rFonts w:hint="eastAsia" w:ascii="仿宋" w:hAnsi="仿宋" w:eastAsia="仿宋" w:cs="仿宋"/>
          <w:sz w:val="32"/>
          <w:szCs w:val="31"/>
          <w:lang w:val="en-US" w:eastAsia="zh-CN"/>
        </w:rPr>
        <w:t xml:space="preserve">   </w:t>
      </w: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第四十</w:t>
      </w:r>
      <w:r>
        <w:rPr>
          <w:rFonts w:hint="eastAsia" w:ascii="黑体" w:hAnsi="黑体" w:eastAsia="黑体" w:cs="黑体"/>
          <w:sz w:val="32"/>
          <w:szCs w:val="31"/>
          <w:lang w:eastAsia="zh-CN"/>
        </w:rPr>
        <w:t>四</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立法后评估应当对政府规章的立法质量、实施绩效、存在问题以及影响等进行调查和评价，提出继续实施、修改或者废止的建议，形成立法后评估报告。</w:t>
      </w:r>
    </w:p>
    <w:p w14:paraId="5EB88ABC">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 w:cs="仿宋"/>
          <w:sz w:val="32"/>
          <w:szCs w:val="31"/>
        </w:rPr>
      </w:pPr>
      <w:r>
        <w:rPr>
          <w:rFonts w:hint="eastAsia" w:ascii="黑体" w:hAnsi="黑体" w:eastAsia="黑体" w:cs="黑体"/>
          <w:sz w:val="32"/>
          <w:szCs w:val="31"/>
        </w:rPr>
        <w:t>第四十</w:t>
      </w:r>
      <w:r>
        <w:rPr>
          <w:rFonts w:hint="eastAsia" w:ascii="黑体" w:hAnsi="黑体" w:eastAsia="黑体" w:cs="黑体"/>
          <w:sz w:val="32"/>
          <w:szCs w:val="31"/>
          <w:lang w:eastAsia="zh-CN"/>
        </w:rPr>
        <w:t>五</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自治区人民政府应当根据全面深化改革、经济社会发展需要，以及上位法制定、修改、废止情况，及时组织开展政府规章清理工作。</w:t>
      </w:r>
    </w:p>
    <w:p w14:paraId="26EFCFB4">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 w:cs="仿宋"/>
          <w:sz w:val="32"/>
          <w:szCs w:val="31"/>
          <w:lang w:eastAsia="zh-CN"/>
        </w:rPr>
      </w:pPr>
      <w:r>
        <w:rPr>
          <w:rFonts w:hint="eastAsia" w:ascii="黑体" w:hAnsi="黑体" w:eastAsia="黑体" w:cs="黑体"/>
          <w:sz w:val="32"/>
          <w:szCs w:val="31"/>
        </w:rPr>
        <w:t>第四十</w:t>
      </w:r>
      <w:r>
        <w:rPr>
          <w:rFonts w:hint="eastAsia" w:ascii="黑体" w:hAnsi="黑体" w:eastAsia="黑体" w:cs="黑体"/>
          <w:sz w:val="32"/>
          <w:szCs w:val="31"/>
          <w:lang w:eastAsia="zh-CN"/>
        </w:rPr>
        <w:t>六</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政府规章有下列情形之一的，有关部门应当及时提出修改、废止建议</w:t>
      </w:r>
      <w:r>
        <w:rPr>
          <w:rFonts w:hint="eastAsia" w:ascii="仿宋" w:hAnsi="仿宋" w:eastAsia="仿宋" w:cs="仿宋"/>
          <w:sz w:val="32"/>
          <w:szCs w:val="31"/>
          <w:lang w:eastAsia="zh-CN"/>
        </w:rPr>
        <w:t>：</w:t>
      </w:r>
    </w:p>
    <w:p w14:paraId="49FC58EA">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16" w:firstLineChars="200"/>
        <w:jc w:val="both"/>
        <w:textAlignment w:val="auto"/>
        <w:outlineLvl w:val="9"/>
        <w:rPr>
          <w:rFonts w:hint="eastAsia" w:ascii="仿宋" w:hAnsi="仿宋" w:eastAsia="仿宋" w:cs="仿宋"/>
          <w:sz w:val="32"/>
          <w:szCs w:val="31"/>
          <w:lang w:val="en-US" w:eastAsia="zh-CN"/>
        </w:rPr>
      </w:pPr>
      <w:r>
        <w:rPr>
          <w:rFonts w:hint="eastAsia" w:ascii="仿宋" w:hAnsi="仿宋" w:eastAsia="仿宋" w:cs="仿宋"/>
          <w:spacing w:val="-6"/>
          <w:sz w:val="32"/>
          <w:szCs w:val="31"/>
          <w:lang w:val="en-US" w:eastAsia="zh-CN"/>
        </w:rPr>
        <w:t>（一）与铸牢中华民族共同体意识工作主线要求不相符的</w:t>
      </w:r>
      <w:r>
        <w:rPr>
          <w:rFonts w:hint="eastAsia" w:ascii="仿宋" w:hAnsi="仿宋" w:eastAsia="仿宋" w:cs="仿宋"/>
          <w:sz w:val="32"/>
          <w:szCs w:val="31"/>
          <w:lang w:val="en-US" w:eastAsia="zh-CN"/>
        </w:rPr>
        <w:t>；</w:t>
      </w:r>
    </w:p>
    <w:p w14:paraId="0255D261">
      <w:pPr>
        <w:pStyle w:val="23"/>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outlineLvl w:val="9"/>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（二）与新制定的上位法抵触或者所依据的</w:t>
      </w:r>
      <w:r>
        <w:rPr>
          <w:rFonts w:hint="eastAsia" w:ascii="仿宋" w:hAnsi="仿宋" w:eastAsia="仿宋" w:cs="仿宋"/>
          <w:spacing w:val="-6"/>
          <w:sz w:val="32"/>
          <w:szCs w:val="31"/>
          <w:lang w:val="en-US" w:eastAsia="zh-CN"/>
        </w:rPr>
        <w:t>上位法已经修改、</w:t>
      </w:r>
      <w:r>
        <w:rPr>
          <w:rFonts w:hint="eastAsia" w:ascii="仿宋" w:hAnsi="仿宋" w:eastAsia="仿宋" w:cs="仿宋"/>
          <w:sz w:val="32"/>
          <w:szCs w:val="31"/>
          <w:lang w:val="en-US" w:eastAsia="zh-CN"/>
        </w:rPr>
        <w:t>废止的；</w:t>
      </w:r>
    </w:p>
    <w:p w14:paraId="08B70509">
      <w:pPr>
        <w:pStyle w:val="23"/>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（三）主要内容被新公布的法律、法规替代的；</w:t>
      </w:r>
    </w:p>
    <w:p w14:paraId="5F4A270E">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（四）调整对象已经消失或者发生变化的；</w:t>
      </w:r>
    </w:p>
    <w:p w14:paraId="5087720A">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（五）实施主体发生变化的；</w:t>
      </w:r>
    </w:p>
    <w:p w14:paraId="3F145557">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（六）不适应全面深化改革和经济社会发展需要的；</w:t>
      </w:r>
    </w:p>
    <w:p w14:paraId="03EFD8D0">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 w:cs="仿宋"/>
          <w:sz w:val="32"/>
          <w:szCs w:val="31"/>
          <w:lang w:val="en-US" w:eastAsia="zh-CN"/>
        </w:rPr>
      </w:pPr>
      <w:r>
        <w:rPr>
          <w:rFonts w:hint="eastAsia" w:ascii="仿宋" w:hAnsi="仿宋" w:eastAsia="仿宋" w:cs="仿宋"/>
          <w:sz w:val="32"/>
          <w:szCs w:val="31"/>
          <w:lang w:val="en-US" w:eastAsia="zh-CN"/>
        </w:rPr>
        <w:t>（七）应当修改、废止的其他情形。</w:t>
      </w:r>
    </w:p>
    <w:p w14:paraId="0E3B748D">
      <w:pPr>
        <w:pStyle w:val="23"/>
        <w:keepNext w:val="0"/>
        <w:keepLines w:val="0"/>
        <w:pageBreakBefore w:val="0"/>
        <w:widowControl w:val="0"/>
        <w:suppressLineNumbers w:val="0"/>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firstLine="0" w:firstLineChars="0"/>
        <w:jc w:val="center"/>
        <w:textAlignment w:val="auto"/>
        <w:rPr>
          <w:rFonts w:hint="eastAsia" w:ascii="黑体" w:hAnsi="黑体" w:eastAsia="黑体" w:cs="黑体"/>
          <w:sz w:val="32"/>
        </w:rPr>
      </w:pPr>
      <w:r>
        <w:rPr>
          <w:rFonts w:hint="eastAsia" w:ascii="黑体" w:hAnsi="黑体" w:eastAsia="黑体" w:cs="黑体"/>
          <w:sz w:val="32"/>
          <w:szCs w:val="31"/>
        </w:rPr>
        <w:t>第七章</w:t>
      </w: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附</w:t>
      </w: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则</w:t>
      </w:r>
    </w:p>
    <w:p w14:paraId="0DC904CA">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sz w:val="32"/>
        </w:rPr>
      </w:pPr>
      <w:r>
        <w:rPr>
          <w:rFonts w:hint="eastAsia" w:ascii="仿宋" w:hAnsi="仿宋" w:eastAsia="仿宋" w:cs="仿宋"/>
          <w:sz w:val="32"/>
          <w:szCs w:val="31"/>
          <w:lang w:val="en-US" w:eastAsia="zh-CN"/>
        </w:rPr>
        <w:t xml:space="preserve">  </w:t>
      </w:r>
      <w:r>
        <w:rPr>
          <w:rFonts w:hint="eastAsia" w:ascii="黑体" w:hAnsi="黑体" w:eastAsia="黑体" w:cs="黑体"/>
          <w:sz w:val="32"/>
          <w:szCs w:val="31"/>
          <w:lang w:val="en-US" w:eastAsia="zh-CN"/>
        </w:rPr>
        <w:t xml:space="preserve">  </w:t>
      </w:r>
      <w:r>
        <w:rPr>
          <w:rFonts w:hint="eastAsia" w:ascii="黑体" w:hAnsi="黑体" w:eastAsia="黑体" w:cs="黑体"/>
          <w:sz w:val="32"/>
          <w:szCs w:val="31"/>
        </w:rPr>
        <w:t>第四十</w:t>
      </w:r>
      <w:r>
        <w:rPr>
          <w:rFonts w:hint="eastAsia" w:ascii="黑体" w:hAnsi="黑体" w:eastAsia="黑体" w:cs="黑体"/>
          <w:sz w:val="32"/>
          <w:szCs w:val="31"/>
          <w:lang w:eastAsia="zh-CN"/>
        </w:rPr>
        <w:t>七</w:t>
      </w:r>
      <w:r>
        <w:rPr>
          <w:rFonts w:hint="eastAsia" w:ascii="黑体" w:hAnsi="黑体" w:eastAsia="黑体" w:cs="黑体"/>
          <w:sz w:val="32"/>
          <w:szCs w:val="31"/>
        </w:rPr>
        <w:t>条</w:t>
      </w:r>
      <w:r>
        <w:rPr>
          <w:rFonts w:hint="eastAsia" w:ascii="黑体" w:hAnsi="黑体" w:eastAsia="黑体" w:cs="黑体"/>
          <w:sz w:val="32"/>
          <w:szCs w:val="31"/>
          <w:lang w:val="en-US" w:eastAsia="zh-CN"/>
        </w:rPr>
        <w:t xml:space="preserve">  </w:t>
      </w:r>
      <w:r>
        <w:rPr>
          <w:rFonts w:hint="eastAsia" w:ascii="仿宋" w:hAnsi="仿宋" w:eastAsia="仿宋" w:cs="仿宋"/>
          <w:sz w:val="32"/>
          <w:szCs w:val="31"/>
        </w:rPr>
        <w:t>政府规章的修改、废止程序适用本规定。</w:t>
      </w:r>
    </w:p>
    <w:p w14:paraId="4814AE1D">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 w:hAnsi="仿宋" w:eastAsia="仿宋" w:cs="仿宋"/>
          <w:sz w:val="32"/>
          <w:szCs w:val="31"/>
        </w:rPr>
      </w:pPr>
      <w:r>
        <w:rPr>
          <w:rFonts w:hint="eastAsia" w:ascii="黑体" w:hAnsi="黑体" w:eastAsia="黑体" w:cs="黑体"/>
          <w:sz w:val="32"/>
          <w:szCs w:val="31"/>
        </w:rPr>
        <w:t>第四十</w:t>
      </w:r>
      <w:r>
        <w:rPr>
          <w:rFonts w:hint="eastAsia" w:ascii="黑体" w:hAnsi="黑体" w:eastAsia="黑体" w:cs="黑体"/>
          <w:sz w:val="32"/>
          <w:szCs w:val="31"/>
          <w:lang w:eastAsia="zh-CN"/>
        </w:rPr>
        <w:t>八</w:t>
      </w:r>
      <w:r>
        <w:rPr>
          <w:rFonts w:hint="eastAsia" w:ascii="黑体" w:hAnsi="黑体" w:eastAsia="黑体" w:cs="黑体"/>
          <w:sz w:val="32"/>
          <w:szCs w:val="31"/>
        </w:rPr>
        <w:t>条</w:t>
      </w:r>
      <w:r>
        <w:rPr>
          <w:rFonts w:hint="eastAsia" w:ascii="黑体" w:hAnsi="黑体" w:eastAsia="黑体" w:cs="黑体"/>
          <w:sz w:val="32"/>
          <w:szCs w:val="31"/>
          <w:lang w:val="en-US" w:eastAsia="zh-CN"/>
        </w:rPr>
        <w:t xml:space="preserve">  </w:t>
      </w:r>
      <w:r>
        <w:rPr>
          <w:rFonts w:hint="eastAsia" w:ascii="仿宋" w:hAnsi="仿宋" w:eastAsia="仿宋" w:cs="仿宋"/>
          <w:spacing w:val="0"/>
          <w:sz w:val="32"/>
          <w:szCs w:val="31"/>
        </w:rPr>
        <w:t>设区的市人民政府拟定地方性法规</w:t>
      </w:r>
      <w:r>
        <w:rPr>
          <w:rFonts w:hint="eastAsia" w:ascii="仿宋" w:hAnsi="仿宋" w:eastAsia="仿宋" w:cs="仿宋"/>
          <w:spacing w:val="-6"/>
          <w:sz w:val="32"/>
          <w:szCs w:val="31"/>
        </w:rPr>
        <w:t>草案和制定</w:t>
      </w:r>
      <w:r>
        <w:rPr>
          <w:rFonts w:hint="eastAsia" w:ascii="仿宋" w:hAnsi="仿宋" w:eastAsia="仿宋" w:cs="仿宋"/>
          <w:sz w:val="32"/>
          <w:szCs w:val="31"/>
        </w:rPr>
        <w:t>政府规章，参照本规定执行。</w:t>
      </w:r>
    </w:p>
    <w:p w14:paraId="3204A68C">
      <w:pPr>
        <w:pStyle w:val="23"/>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 w:hAnsi="仿宋" w:eastAsia="仿宋" w:cs="仿宋"/>
          <w:sz w:val="32"/>
          <w:szCs w:val="31"/>
        </w:rPr>
      </w:pPr>
      <w:r>
        <w:rPr>
          <w:rFonts w:hint="eastAsia" w:ascii="黑体" w:hAnsi="黑体" w:eastAsia="黑体" w:cs="黑体"/>
          <w:sz w:val="32"/>
          <w:szCs w:val="31"/>
        </w:rPr>
        <w:t>第四十</w:t>
      </w:r>
      <w:r>
        <w:rPr>
          <w:rFonts w:hint="eastAsia" w:ascii="黑体" w:hAnsi="黑体" w:eastAsia="黑体" w:cs="黑体"/>
          <w:sz w:val="32"/>
          <w:szCs w:val="31"/>
          <w:lang w:eastAsia="zh-CN"/>
        </w:rPr>
        <w:t>九</w:t>
      </w:r>
      <w:r>
        <w:rPr>
          <w:rFonts w:hint="eastAsia" w:ascii="黑体" w:hAnsi="黑体" w:eastAsia="黑体" w:cs="黑体"/>
          <w:sz w:val="32"/>
          <w:szCs w:val="31"/>
        </w:rPr>
        <w:t>条</w:t>
      </w:r>
      <w:r>
        <w:rPr>
          <w:rFonts w:hint="eastAsia" w:ascii="仿宋" w:hAnsi="仿宋" w:eastAsia="仿宋" w:cs="仿宋"/>
          <w:sz w:val="32"/>
          <w:szCs w:val="31"/>
        </w:rPr>
        <w:t xml:space="preserve"> </w:t>
      </w:r>
      <w:r>
        <w:rPr>
          <w:rFonts w:hint="eastAsia" w:ascii="仿宋" w:hAnsi="仿宋" w:eastAsia="仿宋" w:cs="仿宋"/>
          <w:sz w:val="32"/>
          <w:szCs w:val="31"/>
          <w:lang w:val="en-US" w:eastAsia="zh-CN"/>
        </w:rPr>
        <w:t xml:space="preserve"> </w:t>
      </w:r>
      <w:r>
        <w:rPr>
          <w:rFonts w:hint="eastAsia" w:ascii="仿宋" w:hAnsi="仿宋" w:eastAsia="仿宋" w:cs="仿宋"/>
          <w:sz w:val="32"/>
          <w:szCs w:val="31"/>
        </w:rPr>
        <w:t>本规定自202</w:t>
      </w:r>
      <w:r>
        <w:rPr>
          <w:rFonts w:hint="eastAsia" w:ascii="仿宋" w:hAnsi="仿宋" w:eastAsia="仿宋" w:cs="仿宋"/>
          <w:sz w:val="32"/>
          <w:szCs w:val="31"/>
          <w:lang w:val="en-US" w:eastAsia="zh-CN"/>
        </w:rPr>
        <w:t>0</w:t>
      </w:r>
      <w:r>
        <w:rPr>
          <w:rFonts w:hint="eastAsia" w:ascii="仿宋" w:hAnsi="仿宋" w:eastAsia="仿宋" w:cs="仿宋"/>
          <w:sz w:val="32"/>
          <w:szCs w:val="31"/>
        </w:rPr>
        <w:t>年3月1日起施行。1998年10月29日内蒙古自治区人民政府公布的《内蒙古自治区人民政府拟定地方性法规草案和制定规章规定》</w:t>
      </w:r>
      <w:r>
        <w:rPr>
          <w:rFonts w:hint="eastAsia" w:ascii="仿宋" w:hAnsi="仿宋" w:eastAsia="仿宋" w:cs="仿宋"/>
          <w:sz w:val="32"/>
          <w:szCs w:val="31"/>
          <w:lang w:eastAsia="zh-CN"/>
        </w:rPr>
        <w:t>（</w:t>
      </w:r>
      <w:r>
        <w:rPr>
          <w:rFonts w:hint="eastAsia" w:ascii="仿宋" w:hAnsi="仿宋" w:eastAsia="仿宋" w:cs="仿宋"/>
          <w:sz w:val="32"/>
          <w:szCs w:val="31"/>
        </w:rPr>
        <w:t>内蒙古自治区人民政府令第91号</w:t>
      </w:r>
      <w:r>
        <w:rPr>
          <w:rFonts w:hint="eastAsia" w:ascii="仿宋" w:hAnsi="仿宋" w:eastAsia="仿宋" w:cs="仿宋"/>
          <w:sz w:val="32"/>
          <w:szCs w:val="31"/>
          <w:lang w:eastAsia="zh-CN"/>
        </w:rPr>
        <w:t>）</w:t>
      </w:r>
      <w:r>
        <w:rPr>
          <w:rFonts w:hint="eastAsia" w:ascii="仿宋" w:hAnsi="仿宋" w:eastAsia="仿宋" w:cs="仿宋"/>
          <w:sz w:val="32"/>
          <w:szCs w:val="31"/>
        </w:rPr>
        <w:t>同时废止。</w:t>
      </w:r>
    </w:p>
    <w:p w14:paraId="5A3B7948">
      <w:pPr>
        <w:keepNext w:val="0"/>
        <w:keepLines w:val="0"/>
        <w:pageBreakBefore w:val="0"/>
        <w:widowControl w:val="0"/>
        <w:wordWrap/>
        <w:overflowPunct/>
        <w:topLinePunct/>
        <w:bidi w:val="0"/>
        <w:spacing w:before="0" w:beforeLines="0" w:beforeAutospacing="0" w:after="0" w:afterLines="0" w:afterAutospacing="0" w:line="580" w:lineRule="exact"/>
        <w:ind w:left="0" w:leftChars="0" w:right="0" w:rightChars="0"/>
        <w:jc w:val="both"/>
        <w:outlineLvl w:val="9"/>
        <w:rPr>
          <w:rFonts w:hint="eastAsia" w:ascii="仿宋" w:hAnsi="仿宋" w:eastAsia="仿宋" w:cs="仿宋"/>
          <w:sz w:val="32"/>
        </w:rPr>
      </w:pPr>
      <w:r>
        <w:rPr>
          <w:rFonts w:hint="eastAsia" w:ascii="仿宋" w:hAnsi="仿宋" w:eastAsia="仿宋" w:cs="仿宋"/>
          <w:sz w:val="32"/>
        </w:rPr>
        <w:br w:type="page"/>
      </w:r>
    </w:p>
    <w:p w14:paraId="0A70624E">
      <w:pPr>
        <w:pStyle w:val="42"/>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内蒙古自治区行政事业性国有资产管理办法</w:t>
      </w:r>
    </w:p>
    <w:p w14:paraId="55DEFE5F">
      <w:pPr>
        <w:pStyle w:val="42"/>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0" w:firstLineChars="0"/>
        <w:jc w:val="both"/>
        <w:textAlignment w:val="auto"/>
        <w:outlineLvl w:val="9"/>
        <w:rPr>
          <w:rFonts w:hint="eastAsia" w:ascii="仿宋" w:hAnsi="仿宋" w:eastAsia="仿宋" w:cs="仿宋"/>
          <w:color w:val="000000"/>
          <w:sz w:val="44"/>
          <w:szCs w:val="44"/>
          <w:lang w:val="en-US" w:eastAsia="zh-CN"/>
        </w:rPr>
      </w:pPr>
    </w:p>
    <w:p w14:paraId="4E22F663">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楷体" w:hAnsi="楷体" w:eastAsia="楷体" w:cs="楷体"/>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w:t>
      </w:r>
      <w:r>
        <w:rPr>
          <w:rFonts w:hint="eastAsia" w:ascii="楷体" w:hAnsi="楷体" w:eastAsia="楷体" w:cs="楷体"/>
          <w:b w:val="0"/>
          <w:bCs w:val="0"/>
          <w:color w:val="000000"/>
          <w:sz w:val="32"/>
          <w:szCs w:val="32"/>
          <w:lang w:val="en-US" w:eastAsia="zh-CN"/>
        </w:rPr>
        <w:t xml:space="preserve"> （2022年12月28日内蒙古自治区人民政府令第257号公布  根据2024年5月8日《内蒙古自治区人民政府关于修改和废止部分政府规章的决定》修正）</w:t>
      </w:r>
    </w:p>
    <w:p w14:paraId="3B533B53">
      <w:pPr>
        <w:keepNext w:val="0"/>
        <w:keepLines w:val="0"/>
        <w:pageBreakBefore w:val="0"/>
        <w:widowControl w:val="0"/>
        <w:wordWrap/>
        <w:overflowPunct/>
        <w:topLinePunct/>
        <w:bidi w:val="0"/>
        <w:spacing w:before="0" w:beforeLines="0" w:beforeAutospacing="0" w:after="0" w:afterLines="0" w:afterAutospacing="0" w:line="580" w:lineRule="exact"/>
        <w:ind w:left="0" w:leftChars="0" w:right="0" w:rightChars="0"/>
        <w:jc w:val="both"/>
        <w:rPr>
          <w:rFonts w:hint="eastAsia" w:ascii="仿宋" w:hAnsi="仿宋" w:eastAsia="仿宋" w:cs="仿宋"/>
          <w:sz w:val="32"/>
          <w:lang w:val="en-US" w:eastAsia="zh-CN"/>
        </w:rPr>
      </w:pPr>
    </w:p>
    <w:p w14:paraId="36ED5093">
      <w:pPr>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firstLine="0" w:firstLineChars="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第一章</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 xml:space="preserve"> 总</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则</w:t>
      </w:r>
    </w:p>
    <w:p w14:paraId="576120B8">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第一条</w:t>
      </w:r>
      <w:r>
        <w:rPr>
          <w:rFonts w:hint="eastAsia" w:ascii="仿宋" w:hAnsi="仿宋" w:eastAsia="仿宋" w:cs="仿宋"/>
          <w:b w:val="0"/>
          <w:bCs w:val="0"/>
          <w:color w:val="000000"/>
          <w:sz w:val="32"/>
          <w:szCs w:val="32"/>
        </w:rPr>
        <w:t xml:space="preserve">  为了加强行政事业性国有资产管理与监督，健全国有资产管理体制机制，提高国有资产使用效益，维护国有资产安全和完整，推进国有资产治理体系和治理能力现代化，根据《行政事业性国有资产管理条例》</w:t>
      </w:r>
      <w:r>
        <w:rPr>
          <w:rFonts w:hint="eastAsia" w:ascii="仿宋" w:hAnsi="仿宋" w:eastAsia="仿宋" w:cs="仿宋"/>
          <w:b w:val="0"/>
          <w:bCs w:val="0"/>
          <w:color w:val="000000"/>
          <w:sz w:val="32"/>
          <w:szCs w:val="32"/>
          <w:lang w:val="en-US" w:eastAsia="zh-CN"/>
        </w:rPr>
        <w:t>等</w:t>
      </w:r>
      <w:r>
        <w:rPr>
          <w:rFonts w:hint="eastAsia" w:ascii="仿宋" w:hAnsi="仿宋" w:eastAsia="仿宋" w:cs="仿宋"/>
          <w:b w:val="0"/>
          <w:bCs w:val="0"/>
          <w:color w:val="000000"/>
          <w:sz w:val="32"/>
          <w:szCs w:val="32"/>
        </w:rPr>
        <w:t>有关法律、法规，结合自治区实际，制定本办法。</w:t>
      </w:r>
    </w:p>
    <w:p w14:paraId="29056FA5">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第二条</w:t>
      </w:r>
      <w:r>
        <w:rPr>
          <w:rFonts w:hint="eastAsia" w:ascii="仿宋" w:hAnsi="仿宋" w:eastAsia="仿宋" w:cs="仿宋"/>
          <w:b w:val="0"/>
          <w:bCs w:val="0"/>
          <w:color w:val="000000"/>
          <w:sz w:val="32"/>
          <w:szCs w:val="32"/>
        </w:rPr>
        <w:t xml:space="preserve">  自治区行政事业性国有资产管理适用本办法。</w:t>
      </w:r>
    </w:p>
    <w:p w14:paraId="2B74AC68">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第三条</w:t>
      </w:r>
      <w:r>
        <w:rPr>
          <w:rFonts w:hint="eastAsia" w:ascii="仿宋" w:hAnsi="仿宋" w:eastAsia="仿宋" w:cs="仿宋"/>
          <w:b w:val="0"/>
          <w:bCs w:val="0"/>
          <w:color w:val="000000"/>
          <w:sz w:val="32"/>
          <w:szCs w:val="32"/>
        </w:rPr>
        <w:t xml:space="preserve">  行政事业性国有资产，是指行政单位、事业单位通过下列方式取得或者形成的资产：</w:t>
      </w:r>
    </w:p>
    <w:p w14:paraId="4C41E938">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一</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使用财政资金形成的资产；</w:t>
      </w:r>
    </w:p>
    <w:p w14:paraId="248F43E3">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二</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接受调拨或者划转、置换形成的资产；</w:t>
      </w:r>
    </w:p>
    <w:p w14:paraId="007509B1">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三</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接受捐赠并确认为国有的资产；</w:t>
      </w:r>
    </w:p>
    <w:p w14:paraId="547BF7A1">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strike/>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四</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其他国有资产。</w:t>
      </w:r>
    </w:p>
    <w:p w14:paraId="0FF01DD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第四条</w:t>
      </w:r>
      <w:r>
        <w:rPr>
          <w:rFonts w:hint="eastAsia" w:ascii="仿宋" w:hAnsi="仿宋" w:eastAsia="仿宋" w:cs="仿宋"/>
          <w:b w:val="0"/>
          <w:bCs w:val="0"/>
          <w:color w:val="000000"/>
          <w:sz w:val="32"/>
          <w:szCs w:val="32"/>
        </w:rPr>
        <w:t xml:space="preserve">  行政事业性国有资产表现形式为：流动资产、固定资产、在建工程、无形资产、公共基础设施、政府储备物资、国有文物文化资产、保障性住房等。</w:t>
      </w:r>
    </w:p>
    <w:p w14:paraId="1C0390C8">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第五条</w:t>
      </w:r>
      <w:r>
        <w:rPr>
          <w:rFonts w:hint="eastAsia" w:ascii="仿宋" w:hAnsi="仿宋" w:eastAsia="仿宋" w:cs="仿宋"/>
          <w:b w:val="0"/>
          <w:bCs w:val="0"/>
          <w:color w:val="000000"/>
          <w:sz w:val="32"/>
          <w:szCs w:val="32"/>
        </w:rPr>
        <w:t xml:space="preserve">  行政事业性国有资产属于国家所有，实行政府分级监管、各部门及其所属单位直接支配的管理体制。</w:t>
      </w:r>
    </w:p>
    <w:p w14:paraId="218F4E19">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第六条</w:t>
      </w:r>
      <w:r>
        <w:rPr>
          <w:rFonts w:hint="eastAsia" w:ascii="仿宋" w:hAnsi="仿宋" w:eastAsia="仿宋" w:cs="仿宋"/>
          <w:b w:val="0"/>
          <w:bCs w:val="0"/>
          <w:color w:val="000000"/>
          <w:sz w:val="32"/>
          <w:szCs w:val="32"/>
        </w:rPr>
        <w:t xml:space="preserve">  行政事业性国有资产管理应当遵循安全规范、节约高效、公开透明、权责一致的原则，实现实物管理与价值管理相统一，资产管理与预算管理、财务管理、绩效管理相结合。</w:t>
      </w:r>
    </w:p>
    <w:p w14:paraId="7770B27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第七条</w:t>
      </w:r>
      <w:r>
        <w:rPr>
          <w:rFonts w:hint="eastAsia" w:ascii="仿宋" w:hAnsi="仿宋" w:eastAsia="仿宋" w:cs="仿宋"/>
          <w:b w:val="0"/>
          <w:bCs w:val="0"/>
          <w:color w:val="000000"/>
          <w:sz w:val="32"/>
          <w:szCs w:val="32"/>
        </w:rPr>
        <w:t xml:space="preserve">  各级人民政府应当建立健全行政事业性国有资产管理机制，加强对本级行政事业性国有资产的管理，审查</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批准重大行政事业性国有资产管理事项。</w:t>
      </w:r>
    </w:p>
    <w:p w14:paraId="1B2A2CFB">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第八条</w:t>
      </w:r>
      <w:r>
        <w:rPr>
          <w:rFonts w:hint="eastAsia" w:ascii="仿宋" w:hAnsi="仿宋" w:eastAsia="仿宋" w:cs="仿宋"/>
          <w:b w:val="0"/>
          <w:bCs w:val="0"/>
          <w:color w:val="000000"/>
          <w:sz w:val="32"/>
          <w:szCs w:val="32"/>
        </w:rPr>
        <w:t xml:space="preserve">  </w:t>
      </w:r>
      <w:r>
        <w:rPr>
          <w:rFonts w:hint="eastAsia" w:ascii="仿宋" w:hAnsi="仿宋" w:eastAsia="仿宋" w:cs="仿宋"/>
          <w:b w:val="0"/>
          <w:bCs w:val="0"/>
          <w:color w:val="000000"/>
          <w:sz w:val="32"/>
          <w:szCs w:val="32"/>
          <w:lang w:eastAsia="zh-CN"/>
        </w:rPr>
        <w:t>旗县</w:t>
      </w:r>
      <w:r>
        <w:rPr>
          <w:rFonts w:hint="eastAsia" w:ascii="仿宋" w:hAnsi="仿宋" w:eastAsia="仿宋" w:cs="仿宋"/>
          <w:b w:val="0"/>
          <w:bCs w:val="0"/>
          <w:color w:val="000000"/>
          <w:sz w:val="32"/>
          <w:szCs w:val="32"/>
        </w:rPr>
        <w:t>级</w:t>
      </w:r>
      <w:r>
        <w:rPr>
          <w:rFonts w:hint="eastAsia" w:ascii="仿宋" w:hAnsi="仿宋" w:eastAsia="仿宋" w:cs="仿宋"/>
          <w:b w:val="0"/>
          <w:bCs w:val="0"/>
          <w:color w:val="000000"/>
          <w:sz w:val="32"/>
          <w:szCs w:val="32"/>
          <w:lang w:eastAsia="zh-CN"/>
        </w:rPr>
        <w:t>以上人民政府</w:t>
      </w:r>
      <w:r>
        <w:rPr>
          <w:rFonts w:hint="eastAsia" w:ascii="仿宋" w:hAnsi="仿宋" w:eastAsia="仿宋" w:cs="仿宋"/>
          <w:b w:val="0"/>
          <w:bCs w:val="0"/>
          <w:color w:val="000000"/>
          <w:sz w:val="32"/>
          <w:szCs w:val="32"/>
        </w:rPr>
        <w:t>财政部门承担</w:t>
      </w:r>
      <w:r>
        <w:rPr>
          <w:rFonts w:hint="eastAsia" w:ascii="仿宋" w:hAnsi="仿宋" w:eastAsia="仿宋" w:cs="仿宋"/>
          <w:b w:val="0"/>
          <w:bCs w:val="0"/>
          <w:color w:val="000000"/>
          <w:sz w:val="32"/>
          <w:szCs w:val="32"/>
          <w:lang w:eastAsia="zh-CN"/>
        </w:rPr>
        <w:t>行政事业性</w:t>
      </w:r>
      <w:r>
        <w:rPr>
          <w:rFonts w:hint="eastAsia" w:ascii="仿宋" w:hAnsi="仿宋" w:eastAsia="仿宋" w:cs="仿宋"/>
          <w:b w:val="0"/>
          <w:bCs w:val="0"/>
          <w:color w:val="000000"/>
          <w:sz w:val="32"/>
          <w:szCs w:val="32"/>
        </w:rPr>
        <w:t>国有资产管理的综合监管职责，负责制定本级行政事业性国有资产管理规章制度，并组织实施和监督检查</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编制行政事业性国有资产管理情况报告。</w:t>
      </w:r>
    </w:p>
    <w:p w14:paraId="6371D4E7">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第九条</w:t>
      </w:r>
      <w:r>
        <w:rPr>
          <w:rFonts w:hint="eastAsia" w:ascii="仿宋" w:hAnsi="仿宋" w:eastAsia="仿宋" w:cs="仿宋"/>
          <w:b w:val="0"/>
          <w:bCs w:val="0"/>
          <w:color w:val="000000"/>
          <w:sz w:val="32"/>
          <w:szCs w:val="32"/>
        </w:rPr>
        <w:t xml:space="preserve"> </w:t>
      </w:r>
      <w:r>
        <w:rPr>
          <w:rFonts w:hint="eastAsia" w:ascii="仿宋" w:hAnsi="仿宋" w:eastAsia="仿宋" w:cs="仿宋"/>
          <w:b w:val="0"/>
          <w:bCs w:val="0"/>
          <w:color w:val="000000"/>
          <w:sz w:val="32"/>
          <w:szCs w:val="32"/>
          <w:lang w:val="en-US" w:eastAsia="zh-CN"/>
        </w:rPr>
        <w:t xml:space="preserve"> 旗县级以上</w:t>
      </w:r>
      <w:r>
        <w:rPr>
          <w:rFonts w:hint="eastAsia" w:ascii="仿宋" w:hAnsi="仿宋" w:eastAsia="仿宋" w:cs="仿宋"/>
          <w:b w:val="0"/>
          <w:bCs w:val="0"/>
          <w:color w:val="000000"/>
          <w:sz w:val="32"/>
          <w:szCs w:val="32"/>
        </w:rPr>
        <w:t>机关事务管理部门依法依规履行行政事业性国有资产管理职责，负责本级党政机关办公用房和公务用车的管理，</w:t>
      </w:r>
      <w:r>
        <w:rPr>
          <w:rFonts w:hint="eastAsia" w:ascii="仿宋" w:hAnsi="仿宋" w:eastAsia="仿宋" w:cs="仿宋"/>
          <w:b w:val="0"/>
          <w:bCs w:val="0"/>
          <w:color w:val="000000"/>
          <w:sz w:val="32"/>
          <w:szCs w:val="32"/>
          <w:lang w:eastAsia="zh-CN"/>
        </w:rPr>
        <w:t>制定并</w:t>
      </w:r>
      <w:r>
        <w:rPr>
          <w:rFonts w:hint="eastAsia" w:ascii="仿宋" w:hAnsi="仿宋" w:eastAsia="仿宋" w:cs="仿宋"/>
          <w:b w:val="0"/>
          <w:bCs w:val="0"/>
          <w:color w:val="000000"/>
          <w:sz w:val="32"/>
          <w:szCs w:val="32"/>
        </w:rPr>
        <w:t>组织实施具体的相关管理制度，接受</w:t>
      </w:r>
      <w:r>
        <w:rPr>
          <w:rFonts w:hint="eastAsia" w:ascii="仿宋" w:hAnsi="仿宋" w:eastAsia="仿宋" w:cs="仿宋"/>
          <w:b w:val="0"/>
          <w:bCs w:val="0"/>
          <w:color w:val="000000"/>
          <w:sz w:val="32"/>
          <w:szCs w:val="32"/>
          <w:lang w:val="en-US" w:eastAsia="zh-CN"/>
        </w:rPr>
        <w:t>同级</w:t>
      </w:r>
      <w:r>
        <w:rPr>
          <w:rFonts w:hint="eastAsia" w:ascii="仿宋" w:hAnsi="仿宋" w:eastAsia="仿宋" w:cs="仿宋"/>
          <w:b w:val="0"/>
          <w:bCs w:val="0"/>
          <w:color w:val="000000"/>
          <w:sz w:val="32"/>
          <w:szCs w:val="32"/>
        </w:rPr>
        <w:t>财政部门的指导和监督检查。</w:t>
      </w:r>
    </w:p>
    <w:p w14:paraId="46C214ED">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第十条</w:t>
      </w:r>
      <w:r>
        <w:rPr>
          <w:rFonts w:hint="eastAsia" w:ascii="仿宋" w:hAnsi="仿宋" w:eastAsia="仿宋" w:cs="仿宋"/>
          <w:b w:val="0"/>
          <w:bCs w:val="0"/>
          <w:color w:val="000000"/>
          <w:sz w:val="32"/>
          <w:szCs w:val="32"/>
        </w:rPr>
        <w:t xml:space="preserve">  各部门</w:t>
      </w:r>
      <w:r>
        <w:rPr>
          <w:rFonts w:hint="eastAsia" w:ascii="仿宋" w:hAnsi="仿宋" w:eastAsia="仿宋" w:cs="仿宋"/>
          <w:b w:val="0"/>
          <w:bCs w:val="0"/>
          <w:color w:val="000000"/>
          <w:sz w:val="32"/>
          <w:szCs w:val="32"/>
          <w:lang w:eastAsia="zh-CN"/>
        </w:rPr>
        <w:t>根据职责负责</w:t>
      </w:r>
      <w:r>
        <w:rPr>
          <w:rFonts w:hint="eastAsia" w:ascii="仿宋" w:hAnsi="仿宋" w:eastAsia="仿宋" w:cs="仿宋"/>
          <w:b w:val="0"/>
          <w:bCs w:val="0"/>
          <w:color w:val="000000"/>
          <w:sz w:val="32"/>
          <w:szCs w:val="32"/>
        </w:rPr>
        <w:t>本部门及其所属单位行政事业性国有资产的管理工作，应当明确管理责任，指导、监督所属单位国有资产管理工作。负责制定并组织实施</w:t>
      </w:r>
      <w:r>
        <w:rPr>
          <w:rFonts w:hint="eastAsia" w:ascii="仿宋" w:hAnsi="仿宋" w:eastAsia="仿宋" w:cs="仿宋"/>
          <w:b w:val="0"/>
          <w:bCs w:val="0"/>
          <w:color w:val="000000"/>
          <w:sz w:val="32"/>
          <w:szCs w:val="32"/>
          <w:lang w:val="en-US" w:eastAsia="zh-CN"/>
        </w:rPr>
        <w:t>本部门国有资产管理制度，</w:t>
      </w:r>
      <w:r>
        <w:rPr>
          <w:rFonts w:hint="eastAsia" w:ascii="仿宋" w:hAnsi="仿宋" w:eastAsia="仿宋" w:cs="仿宋"/>
          <w:b w:val="0"/>
          <w:bCs w:val="0"/>
          <w:color w:val="000000"/>
          <w:sz w:val="32"/>
          <w:szCs w:val="32"/>
        </w:rPr>
        <w:t>按照职责权限审查或</w:t>
      </w:r>
      <w:r>
        <w:rPr>
          <w:rFonts w:hint="eastAsia" w:ascii="仿宋" w:hAnsi="仿宋" w:eastAsia="仿宋" w:cs="仿宋"/>
          <w:b w:val="0"/>
          <w:bCs w:val="0"/>
          <w:color w:val="000000"/>
          <w:sz w:val="32"/>
          <w:szCs w:val="32"/>
          <w:lang w:eastAsia="zh-CN"/>
        </w:rPr>
        <w:t>者</w:t>
      </w:r>
      <w:r>
        <w:rPr>
          <w:rFonts w:hint="eastAsia" w:ascii="仿宋" w:hAnsi="仿宋" w:eastAsia="仿宋" w:cs="仿宋"/>
          <w:b w:val="0"/>
          <w:bCs w:val="0"/>
          <w:color w:val="000000"/>
          <w:sz w:val="32"/>
          <w:szCs w:val="32"/>
        </w:rPr>
        <w:t>批准本部门及其所属单位的资产管理事项</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向</w:t>
      </w:r>
      <w:r>
        <w:rPr>
          <w:rFonts w:hint="eastAsia" w:ascii="仿宋" w:hAnsi="仿宋" w:eastAsia="仿宋" w:cs="仿宋"/>
          <w:b w:val="0"/>
          <w:bCs w:val="0"/>
          <w:color w:val="000000"/>
          <w:sz w:val="32"/>
          <w:szCs w:val="32"/>
          <w:lang w:eastAsia="zh-CN"/>
        </w:rPr>
        <w:t>同级</w:t>
      </w:r>
      <w:r>
        <w:rPr>
          <w:rFonts w:hint="eastAsia" w:ascii="仿宋" w:hAnsi="仿宋" w:eastAsia="仿宋" w:cs="仿宋"/>
          <w:b w:val="0"/>
          <w:bCs w:val="0"/>
          <w:color w:val="000000"/>
          <w:sz w:val="32"/>
          <w:szCs w:val="32"/>
        </w:rPr>
        <w:t>财政部门报告本部门及其所属单位国有资产管理情况。</w:t>
      </w:r>
    </w:p>
    <w:p w14:paraId="32C7D9ED">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各部门所属单位负责本单位行政事业性国有资产的具体管理，</w:t>
      </w:r>
      <w:r>
        <w:rPr>
          <w:rFonts w:hint="eastAsia" w:ascii="仿宋" w:hAnsi="仿宋" w:eastAsia="仿宋" w:cs="仿宋"/>
          <w:b w:val="0"/>
          <w:bCs w:val="0"/>
          <w:color w:val="000000"/>
          <w:sz w:val="32"/>
          <w:szCs w:val="32"/>
          <w:lang w:val="en-US" w:eastAsia="zh-CN"/>
        </w:rPr>
        <w:t>应当</w:t>
      </w:r>
      <w:r>
        <w:rPr>
          <w:rFonts w:hint="eastAsia" w:ascii="仿宋" w:hAnsi="仿宋" w:eastAsia="仿宋" w:cs="仿宋"/>
          <w:b w:val="0"/>
          <w:bCs w:val="0"/>
          <w:color w:val="000000"/>
          <w:sz w:val="32"/>
          <w:szCs w:val="32"/>
        </w:rPr>
        <w:t>建立和完善内部控制管理制度，做好本单位行政事业性国有资产的配置预算、购置、使用、处置、绩效评价等管理工作。</w:t>
      </w:r>
    </w:p>
    <w:p w14:paraId="4A1C0029">
      <w:pPr>
        <w:keepNext w:val="0"/>
        <w:keepLines w:val="0"/>
        <w:pageBreakBefore w:val="0"/>
        <w:widowControl w:val="0"/>
        <w:numPr>
          <w:ilvl w:val="0"/>
          <w:numId w:val="0"/>
        </w:numPr>
        <w:kinsoku/>
        <w:wordWrap/>
        <w:overflowPunct/>
        <w:topLinePunct/>
        <w:autoSpaceDE/>
        <w:autoSpaceDN/>
        <w:bidi w:val="0"/>
        <w:adjustRightInd/>
        <w:snapToGrid/>
        <w:spacing w:before="0" w:beforeLines="0" w:beforeAutospacing="0" w:after="0" w:afterLines="0" w:afterAutospacing="0" w:line="580" w:lineRule="exact"/>
        <w:ind w:left="0" w:leftChars="0" w:right="0" w:rightChars="0"/>
        <w:jc w:val="both"/>
        <w:textAlignment w:val="auto"/>
        <w:rPr>
          <w:rFonts w:hint="eastAsia" w:ascii="仿宋" w:hAnsi="仿宋" w:eastAsia="仿宋" w:cs="仿宋"/>
          <w:b w:val="0"/>
          <w:bCs w:val="0"/>
          <w:color w:val="000000"/>
          <w:sz w:val="32"/>
        </w:rPr>
      </w:pPr>
      <w:r>
        <w:rPr>
          <w:rFonts w:hint="eastAsia" w:ascii="仿宋" w:hAnsi="仿宋" w:eastAsia="仿宋" w:cs="仿宋"/>
          <w:b w:val="0"/>
          <w:bCs w:val="0"/>
          <w:color w:val="000000"/>
          <w:sz w:val="32"/>
          <w:szCs w:val="32"/>
          <w:lang w:val="en-US" w:eastAsia="zh-CN"/>
        </w:rPr>
        <w:t xml:space="preserve">   </w:t>
      </w:r>
      <w:r>
        <w:rPr>
          <w:rFonts w:hint="eastAsia" w:ascii="黑体" w:hAnsi="黑体" w:eastAsia="黑体" w:cs="黑体"/>
          <w:b w:val="0"/>
          <w:bCs w:val="0"/>
          <w:color w:val="000000"/>
          <w:sz w:val="32"/>
          <w:szCs w:val="32"/>
          <w:lang w:val="en-US" w:eastAsia="zh-CN"/>
        </w:rPr>
        <w:t xml:space="preserve"> 第十一条</w:t>
      </w:r>
      <w:r>
        <w:rPr>
          <w:rFonts w:hint="eastAsia" w:ascii="仿宋" w:hAnsi="仿宋" w:eastAsia="仿宋" w:cs="仿宋"/>
          <w:b w:val="0"/>
          <w:bCs w:val="0"/>
          <w:color w:val="000000"/>
          <w:sz w:val="32"/>
          <w:szCs w:val="32"/>
        </w:rPr>
        <w:t xml:space="preserve"> </w:t>
      </w: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32"/>
          <w:szCs w:val="32"/>
        </w:rPr>
        <w:t>各部门及其所属单位应当按照国家规定建立行政事业性国有资产绩效管理制度</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健全</w:t>
      </w:r>
      <w:r>
        <w:rPr>
          <w:rFonts w:hint="eastAsia" w:ascii="仿宋" w:hAnsi="仿宋" w:eastAsia="仿宋" w:cs="仿宋"/>
          <w:b w:val="0"/>
          <w:bCs w:val="0"/>
          <w:color w:val="000000"/>
          <w:sz w:val="32"/>
          <w:szCs w:val="32"/>
          <w:lang w:eastAsia="zh-CN"/>
        </w:rPr>
        <w:t>完善</w:t>
      </w:r>
      <w:r>
        <w:rPr>
          <w:rFonts w:hint="eastAsia" w:ascii="仿宋" w:hAnsi="仿宋" w:eastAsia="仿宋" w:cs="仿宋"/>
          <w:b w:val="0"/>
          <w:bCs w:val="0"/>
          <w:color w:val="000000"/>
          <w:sz w:val="32"/>
          <w:szCs w:val="32"/>
        </w:rPr>
        <w:t>绩效指标和标准，有序开展绩效管理工作。</w:t>
      </w:r>
    </w:p>
    <w:p w14:paraId="69BC391C">
      <w:pPr>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firstLine="0" w:firstLineChars="0"/>
        <w:jc w:val="center"/>
        <w:textAlignment w:val="auto"/>
        <w:rPr>
          <w:rFonts w:hint="eastAsia" w:ascii="仿宋" w:hAnsi="仿宋" w:eastAsia="仿宋" w:cs="仿宋"/>
          <w:b w:val="0"/>
          <w:bCs w:val="0"/>
          <w:color w:val="000000"/>
          <w:sz w:val="32"/>
        </w:rPr>
      </w:pPr>
      <w:r>
        <w:rPr>
          <w:rFonts w:hint="eastAsia" w:ascii="黑体" w:hAnsi="黑体" w:eastAsia="黑体" w:cs="黑体"/>
          <w:b w:val="0"/>
          <w:bCs w:val="0"/>
          <w:color w:val="000000"/>
          <w:sz w:val="32"/>
          <w:szCs w:val="32"/>
          <w:lang w:val="en-US" w:eastAsia="zh-CN"/>
        </w:rPr>
        <w:t xml:space="preserve">第二章  </w:t>
      </w:r>
      <w:r>
        <w:rPr>
          <w:rFonts w:hint="eastAsia" w:ascii="黑体" w:hAnsi="黑体" w:eastAsia="黑体" w:cs="黑体"/>
          <w:b w:val="0"/>
          <w:bCs w:val="0"/>
          <w:color w:val="000000"/>
          <w:sz w:val="32"/>
          <w:szCs w:val="32"/>
        </w:rPr>
        <w:t>资产配置与预算管理</w:t>
      </w:r>
    </w:p>
    <w:p w14:paraId="1937CD64">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第十</w:t>
      </w: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行政事业性国有资产的配置包括调剂、购置、建设、租用、接受捐赠等方式。</w:t>
      </w:r>
    </w:p>
    <w:p w14:paraId="6A4BF5D3">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第十</w:t>
      </w: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旗</w:t>
      </w:r>
      <w:r>
        <w:rPr>
          <w:rFonts w:hint="eastAsia" w:ascii="仿宋" w:hAnsi="仿宋" w:eastAsia="仿宋" w:cs="仿宋"/>
          <w:b w:val="0"/>
          <w:bCs w:val="0"/>
          <w:color w:val="000000"/>
          <w:spacing w:val="6"/>
          <w:sz w:val="32"/>
          <w:szCs w:val="32"/>
        </w:rPr>
        <w:t>县级以上人民政府应当</w:t>
      </w:r>
      <w:r>
        <w:rPr>
          <w:rFonts w:hint="eastAsia" w:ascii="仿宋" w:hAnsi="仿宋" w:eastAsia="仿宋" w:cs="仿宋"/>
          <w:b w:val="0"/>
          <w:bCs w:val="0"/>
          <w:color w:val="000000"/>
          <w:spacing w:val="6"/>
          <w:sz w:val="32"/>
          <w:szCs w:val="32"/>
          <w:lang w:eastAsia="zh-CN"/>
        </w:rPr>
        <w:t>组织</w:t>
      </w:r>
      <w:r>
        <w:rPr>
          <w:rFonts w:hint="eastAsia" w:ascii="仿宋" w:hAnsi="仿宋" w:eastAsia="仿宋" w:cs="仿宋"/>
          <w:b w:val="0"/>
          <w:bCs w:val="0"/>
          <w:color w:val="000000"/>
          <w:spacing w:val="6"/>
          <w:sz w:val="32"/>
          <w:szCs w:val="32"/>
        </w:rPr>
        <w:t>建立健全资产配置标准体系，明确配置的数量、价值、等级、最低使用年限等标准。</w:t>
      </w:r>
    </w:p>
    <w:p w14:paraId="1D56E4D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第十</w:t>
      </w:r>
      <w:r>
        <w:rPr>
          <w:rFonts w:hint="eastAsia" w:ascii="黑体" w:hAnsi="黑体" w:eastAsia="黑体" w:cs="黑体"/>
          <w:b w:val="0"/>
          <w:bCs w:val="0"/>
          <w:color w:val="000000"/>
          <w:sz w:val="32"/>
          <w:szCs w:val="32"/>
          <w:lang w:eastAsia="zh-CN"/>
        </w:rPr>
        <w:t>四</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资产配置标准应当按照勤俭节约、讲求绩效和绿色环保的要求，根据国家有关政策、经济社会发展水平、市场价格变化、科学技术进步、公共服务保障要求、财力状况等因素适时调整和更新。</w:t>
      </w:r>
    </w:p>
    <w:p w14:paraId="0A3CF8BC">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各部门通用资产的配置标准应当由</w:t>
      </w:r>
      <w:r>
        <w:rPr>
          <w:rFonts w:hint="eastAsia" w:ascii="仿宋" w:hAnsi="仿宋" w:eastAsia="仿宋" w:cs="仿宋"/>
          <w:b w:val="0"/>
          <w:bCs w:val="0"/>
          <w:color w:val="000000"/>
          <w:sz w:val="32"/>
          <w:szCs w:val="32"/>
          <w:lang w:eastAsia="zh-CN"/>
        </w:rPr>
        <w:t>同</w:t>
      </w:r>
      <w:r>
        <w:rPr>
          <w:rFonts w:hint="eastAsia" w:ascii="仿宋" w:hAnsi="仿宋" w:eastAsia="仿宋" w:cs="仿宋"/>
          <w:b w:val="0"/>
          <w:bCs w:val="0"/>
          <w:color w:val="000000"/>
          <w:sz w:val="32"/>
          <w:szCs w:val="32"/>
        </w:rPr>
        <w:t>级财政部门制定发布。专用资产的配置标准应当由</w:t>
      </w:r>
      <w:r>
        <w:rPr>
          <w:rFonts w:hint="eastAsia" w:ascii="仿宋" w:hAnsi="仿宋" w:eastAsia="仿宋" w:cs="仿宋"/>
          <w:b w:val="0"/>
          <w:bCs w:val="0"/>
          <w:color w:val="000000"/>
          <w:sz w:val="32"/>
          <w:szCs w:val="32"/>
          <w:lang w:val="en-US" w:eastAsia="zh-CN"/>
        </w:rPr>
        <w:t>主管</w:t>
      </w:r>
      <w:r>
        <w:rPr>
          <w:rFonts w:hint="eastAsia" w:ascii="仿宋" w:hAnsi="仿宋" w:eastAsia="仿宋" w:cs="仿宋"/>
          <w:b w:val="0"/>
          <w:bCs w:val="0"/>
          <w:color w:val="000000"/>
          <w:sz w:val="32"/>
          <w:szCs w:val="32"/>
        </w:rPr>
        <w:t>部门根据行业特点制定，由</w:t>
      </w:r>
      <w:r>
        <w:rPr>
          <w:rFonts w:hint="eastAsia" w:ascii="仿宋" w:hAnsi="仿宋" w:eastAsia="仿宋" w:cs="仿宋"/>
          <w:b w:val="0"/>
          <w:bCs w:val="0"/>
          <w:color w:val="000000"/>
          <w:sz w:val="32"/>
          <w:szCs w:val="32"/>
          <w:lang w:eastAsia="zh-CN"/>
        </w:rPr>
        <w:t>同级</w:t>
      </w:r>
      <w:r>
        <w:rPr>
          <w:rFonts w:hint="eastAsia" w:ascii="仿宋" w:hAnsi="仿宋" w:eastAsia="仿宋" w:cs="仿宋"/>
          <w:b w:val="0"/>
          <w:bCs w:val="0"/>
          <w:color w:val="000000"/>
          <w:sz w:val="32"/>
          <w:szCs w:val="32"/>
        </w:rPr>
        <w:t>财政部门审核后会同</w:t>
      </w:r>
      <w:r>
        <w:rPr>
          <w:rFonts w:hint="eastAsia" w:ascii="仿宋" w:hAnsi="仿宋" w:eastAsia="仿宋" w:cs="仿宋"/>
          <w:b w:val="0"/>
          <w:bCs w:val="0"/>
          <w:color w:val="000000"/>
          <w:sz w:val="32"/>
          <w:szCs w:val="32"/>
          <w:lang w:val="en-US" w:eastAsia="zh-CN"/>
        </w:rPr>
        <w:t>主管</w:t>
      </w:r>
      <w:r>
        <w:rPr>
          <w:rFonts w:hint="eastAsia" w:ascii="仿宋" w:hAnsi="仿宋" w:eastAsia="仿宋" w:cs="仿宋"/>
          <w:b w:val="0"/>
          <w:bCs w:val="0"/>
          <w:color w:val="000000"/>
          <w:sz w:val="32"/>
          <w:szCs w:val="32"/>
        </w:rPr>
        <w:t>部门发布。</w:t>
      </w:r>
    </w:p>
    <w:p w14:paraId="2721082A">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rPr>
      </w:pPr>
      <w:r>
        <w:rPr>
          <w:rFonts w:hint="eastAsia" w:ascii="黑体" w:hAnsi="黑体" w:eastAsia="黑体" w:cs="黑体"/>
          <w:b w:val="0"/>
          <w:bCs w:val="0"/>
          <w:color w:val="000000"/>
          <w:sz w:val="32"/>
          <w:szCs w:val="32"/>
          <w:lang w:val="en-US" w:eastAsia="zh-CN"/>
        </w:rPr>
        <w:t>第十五条</w:t>
      </w:r>
      <w:r>
        <w:rPr>
          <w:rFonts w:hint="eastAsia" w:ascii="仿宋" w:hAnsi="仿宋" w:eastAsia="仿宋" w:cs="仿宋"/>
          <w:b w:val="0"/>
          <w:bCs w:val="0"/>
          <w:color w:val="000000"/>
          <w:sz w:val="32"/>
          <w:szCs w:val="32"/>
          <w:lang w:val="en-US" w:eastAsia="zh-CN"/>
        </w:rPr>
        <w:t xml:space="preserve">  各部门及其所属单位应当通过盘活存量资产，</w:t>
      </w:r>
      <w:r>
        <w:rPr>
          <w:rFonts w:hint="eastAsia" w:ascii="仿宋" w:hAnsi="仿宋" w:eastAsia="仿宋" w:cs="仿宋"/>
          <w:b w:val="0"/>
          <w:bCs w:val="0"/>
          <w:i w:val="0"/>
          <w:snapToGrid/>
          <w:color w:val="000000"/>
          <w:sz w:val="32"/>
        </w:rPr>
        <w:t>推进存量资产充分利用和调剂共享</w:t>
      </w:r>
      <w:r>
        <w:rPr>
          <w:rFonts w:hint="eastAsia" w:ascii="仿宋" w:hAnsi="仿宋" w:eastAsia="仿宋" w:cs="仿宋"/>
          <w:b w:val="0"/>
          <w:bCs w:val="0"/>
          <w:i w:val="0"/>
          <w:snapToGrid/>
          <w:color w:val="000000"/>
          <w:sz w:val="32"/>
          <w:lang w:eastAsia="zh-CN"/>
        </w:rPr>
        <w:t>。</w:t>
      </w:r>
      <w:r>
        <w:rPr>
          <w:rFonts w:hint="eastAsia" w:ascii="仿宋" w:hAnsi="仿宋" w:eastAsia="仿宋" w:cs="仿宋"/>
          <w:b w:val="0"/>
          <w:bCs w:val="0"/>
          <w:color w:val="000000"/>
          <w:sz w:val="32"/>
          <w:szCs w:val="32"/>
          <w:lang w:val="en-US" w:eastAsia="zh-CN"/>
        </w:rPr>
        <w:t>对现有存量资产通过功能挖潜、修旧利废能够满足业务工作需要的，应当减少配置，最大限度发挥在用资产和闲置资产的使用价值、使用效益。</w:t>
      </w:r>
    </w:p>
    <w:p w14:paraId="600EB457">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第十</w:t>
      </w:r>
      <w:r>
        <w:rPr>
          <w:rFonts w:hint="eastAsia" w:ascii="黑体" w:hAnsi="黑体" w:eastAsia="黑体" w:cs="黑体"/>
          <w:b w:val="0"/>
          <w:bCs w:val="0"/>
          <w:color w:val="000000"/>
          <w:sz w:val="32"/>
          <w:szCs w:val="32"/>
          <w:lang w:eastAsia="zh-CN"/>
        </w:rPr>
        <w:t>六</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各部门及其所属单位应当根据依法履行职能和事业发展的需要，结合资产存量、资产配置标准、绩效目标和财政承受能力，优先</w:t>
      </w:r>
      <w:r>
        <w:rPr>
          <w:rFonts w:hint="eastAsia" w:ascii="仿宋" w:hAnsi="仿宋" w:eastAsia="仿宋" w:cs="仿宋"/>
          <w:b w:val="0"/>
          <w:bCs w:val="0"/>
          <w:color w:val="000000"/>
          <w:sz w:val="32"/>
          <w:szCs w:val="32"/>
          <w:lang w:eastAsia="zh-CN"/>
        </w:rPr>
        <w:t>通过</w:t>
      </w:r>
      <w:r>
        <w:rPr>
          <w:rFonts w:hint="eastAsia" w:ascii="仿宋" w:hAnsi="仿宋" w:eastAsia="仿宋" w:cs="仿宋"/>
          <w:b w:val="0"/>
          <w:bCs w:val="0"/>
          <w:color w:val="000000"/>
          <w:sz w:val="32"/>
          <w:szCs w:val="32"/>
        </w:rPr>
        <w:t>调剂方式配置资产。不能调剂的，可以采用购置、建设、租用等方式。</w:t>
      </w:r>
    </w:p>
    <w:p w14:paraId="6A2DF93C">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第十</w:t>
      </w:r>
      <w:r>
        <w:rPr>
          <w:rFonts w:hint="eastAsia" w:ascii="黑体" w:hAnsi="黑体" w:eastAsia="黑体" w:cs="黑体"/>
          <w:b w:val="0"/>
          <w:bCs w:val="0"/>
          <w:color w:val="000000"/>
          <w:sz w:val="32"/>
          <w:szCs w:val="32"/>
          <w:lang w:eastAsia="zh-CN"/>
        </w:rPr>
        <w:t>七</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召开重要会议、举办大型活动或者组建临时机构等需要配置资产的，通过调剂方式解决。确需购置的，按</w:t>
      </w:r>
      <w:r>
        <w:rPr>
          <w:rFonts w:hint="eastAsia" w:ascii="仿宋" w:hAnsi="仿宋" w:eastAsia="仿宋" w:cs="仿宋"/>
          <w:b w:val="0"/>
          <w:bCs w:val="0"/>
          <w:color w:val="000000"/>
          <w:sz w:val="32"/>
          <w:szCs w:val="32"/>
          <w:lang w:eastAsia="zh-CN"/>
        </w:rPr>
        <w:t>照</w:t>
      </w:r>
      <w:r>
        <w:rPr>
          <w:rFonts w:hint="eastAsia" w:ascii="仿宋" w:hAnsi="仿宋" w:eastAsia="仿宋" w:cs="仿宋"/>
          <w:b w:val="0"/>
          <w:bCs w:val="0"/>
          <w:color w:val="000000"/>
          <w:sz w:val="32"/>
          <w:szCs w:val="32"/>
        </w:rPr>
        <w:t>程序报批。</w:t>
      </w:r>
    </w:p>
    <w:p w14:paraId="74D39315">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第十</w:t>
      </w:r>
      <w:r>
        <w:rPr>
          <w:rFonts w:hint="eastAsia" w:ascii="黑体" w:hAnsi="黑体" w:eastAsia="黑体" w:cs="黑体"/>
          <w:b w:val="0"/>
          <w:bCs w:val="0"/>
          <w:color w:val="000000"/>
          <w:sz w:val="32"/>
          <w:szCs w:val="32"/>
          <w:lang w:eastAsia="zh-CN"/>
        </w:rPr>
        <w:t>八</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鼓励有条件的旗县级以上人民政府财政部门建立公物仓，会同有关主管部门建立健全公物仓管理机制，将低效、闲置资产</w:t>
      </w:r>
      <w:r>
        <w:rPr>
          <w:rFonts w:hint="eastAsia" w:ascii="仿宋" w:hAnsi="仿宋" w:eastAsia="仿宋" w:cs="仿宋"/>
          <w:b w:val="0"/>
          <w:bCs w:val="0"/>
          <w:color w:val="000000"/>
          <w:sz w:val="32"/>
          <w:szCs w:val="32"/>
          <w:lang w:eastAsia="zh-CN"/>
        </w:rPr>
        <w:t>和</w:t>
      </w:r>
      <w:r>
        <w:rPr>
          <w:rFonts w:hint="eastAsia" w:ascii="仿宋" w:hAnsi="仿宋" w:eastAsia="仿宋" w:cs="仿宋"/>
          <w:b w:val="0"/>
          <w:bCs w:val="0"/>
          <w:color w:val="000000"/>
          <w:sz w:val="32"/>
          <w:szCs w:val="32"/>
        </w:rPr>
        <w:t>大型会议</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活动</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、临时机构配置资产等，统一纳入公物仓集中管理、调配使用。</w:t>
      </w:r>
    </w:p>
    <w:p w14:paraId="51AF0E6D">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各部门及其所属单位在配置资产时，</w:t>
      </w:r>
      <w:r>
        <w:rPr>
          <w:rFonts w:hint="eastAsia" w:ascii="仿宋" w:hAnsi="仿宋" w:eastAsia="仿宋" w:cs="仿宋"/>
          <w:b w:val="0"/>
          <w:bCs w:val="0"/>
          <w:color w:val="000000"/>
          <w:sz w:val="32"/>
          <w:szCs w:val="32"/>
          <w:lang w:eastAsia="zh-CN"/>
        </w:rPr>
        <w:t>应当优先</w:t>
      </w:r>
      <w:r>
        <w:rPr>
          <w:rFonts w:hint="eastAsia" w:ascii="仿宋" w:hAnsi="仿宋" w:eastAsia="仿宋" w:cs="仿宋"/>
          <w:b w:val="0"/>
          <w:bCs w:val="0"/>
          <w:color w:val="000000"/>
          <w:sz w:val="32"/>
          <w:szCs w:val="32"/>
        </w:rPr>
        <w:t xml:space="preserve">考虑从公物仓调剂解决。 </w:t>
      </w:r>
    </w:p>
    <w:p w14:paraId="481D214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eastAsia="zh-CN"/>
        </w:rPr>
        <w:t>十九</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w:t>
      </w:r>
      <w:r>
        <w:rPr>
          <w:rFonts w:hint="eastAsia" w:ascii="仿宋" w:hAnsi="仿宋" w:eastAsia="仿宋" w:cs="仿宋"/>
          <w:b w:val="0"/>
          <w:bCs w:val="0"/>
          <w:color w:val="000000"/>
          <w:sz w:val="32"/>
          <w:szCs w:val="32"/>
          <w:lang w:eastAsia="zh-CN"/>
        </w:rPr>
        <w:t>各部门及其所属单位的</w:t>
      </w:r>
      <w:r>
        <w:rPr>
          <w:rFonts w:hint="eastAsia" w:ascii="仿宋" w:hAnsi="仿宋" w:eastAsia="仿宋" w:cs="仿宋"/>
          <w:b w:val="0"/>
          <w:bCs w:val="0"/>
          <w:color w:val="000000"/>
          <w:sz w:val="32"/>
          <w:szCs w:val="32"/>
        </w:rPr>
        <w:t>低效、闲置资产应当优先在本部门、本单位内部调剂利用</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对使用价值大、利用范围广的低效、闲置资产，积极推进跨部门、跨地区、跨级次资产调剂；对因技术原因需要更新但仍具有使用价值的资产，通过转变用途调剂到技术要求相对较低的部门、单位。</w:t>
      </w:r>
    </w:p>
    <w:p w14:paraId="64DA06DE">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rPr>
      </w:pPr>
      <w:r>
        <w:rPr>
          <w:rFonts w:hint="eastAsia" w:ascii="仿宋" w:hAnsi="仿宋" w:eastAsia="仿宋" w:cs="仿宋"/>
          <w:b w:val="0"/>
          <w:bCs w:val="0"/>
          <w:color w:val="000000"/>
          <w:sz w:val="32"/>
          <w:szCs w:val="32"/>
          <w:lang w:val="en-US" w:eastAsia="zh-CN"/>
        </w:rPr>
        <w:t>旗县级以上人民政府</w:t>
      </w:r>
      <w:r>
        <w:rPr>
          <w:rFonts w:hint="eastAsia" w:ascii="仿宋" w:hAnsi="仿宋" w:eastAsia="仿宋" w:cs="仿宋"/>
          <w:b w:val="0"/>
          <w:bCs w:val="0"/>
          <w:color w:val="000000"/>
          <w:sz w:val="32"/>
          <w:szCs w:val="32"/>
        </w:rPr>
        <w:t>财政部门可</w:t>
      </w:r>
      <w:r>
        <w:rPr>
          <w:rFonts w:hint="eastAsia" w:ascii="仿宋" w:hAnsi="仿宋" w:eastAsia="仿宋" w:cs="仿宋"/>
          <w:b w:val="0"/>
          <w:bCs w:val="0"/>
          <w:color w:val="000000"/>
          <w:sz w:val="32"/>
          <w:szCs w:val="32"/>
          <w:lang w:eastAsia="zh-CN"/>
        </w:rPr>
        <w:t>以</w:t>
      </w:r>
      <w:r>
        <w:rPr>
          <w:rFonts w:hint="eastAsia" w:ascii="仿宋" w:hAnsi="仿宋" w:eastAsia="仿宋" w:cs="仿宋"/>
          <w:b w:val="0"/>
          <w:bCs w:val="0"/>
          <w:color w:val="000000"/>
          <w:sz w:val="32"/>
          <w:szCs w:val="32"/>
        </w:rPr>
        <w:t>建立资产集中运营平台或者委托专业机构，整合行政事业单位低效、闲置资产，实行专业化、市场化运营和管理，提升资产统筹能力和运营效益。</w:t>
      </w:r>
    </w:p>
    <w:p w14:paraId="57E55590">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eastAsia="zh-CN"/>
        </w:rPr>
        <w:t>二十</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各部门及其所属单位购置、建设、租用资产应当提出资产配置需求，编制资产配置相关支出预算，按照预算管理规定和财政部门批复的预算配置资产。</w:t>
      </w:r>
    </w:p>
    <w:p w14:paraId="45047F27">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pacing w:val="6"/>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eastAsia="zh-CN"/>
        </w:rPr>
        <w:t>二十一</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w:t>
      </w:r>
      <w:r>
        <w:rPr>
          <w:rFonts w:hint="eastAsia" w:ascii="仿宋" w:hAnsi="仿宋" w:eastAsia="仿宋" w:cs="仿宋"/>
          <w:b w:val="0"/>
          <w:bCs w:val="0"/>
          <w:color w:val="000000"/>
          <w:sz w:val="32"/>
          <w:szCs w:val="32"/>
          <w:lang w:val="en-US" w:eastAsia="zh-CN"/>
        </w:rPr>
        <w:t>旗</w:t>
      </w:r>
      <w:r>
        <w:rPr>
          <w:rFonts w:hint="eastAsia" w:ascii="仿宋" w:hAnsi="仿宋" w:eastAsia="仿宋" w:cs="仿宋"/>
          <w:b w:val="0"/>
          <w:bCs w:val="0"/>
          <w:color w:val="000000"/>
          <w:spacing w:val="6"/>
          <w:sz w:val="32"/>
          <w:szCs w:val="32"/>
          <w:lang w:val="en-US" w:eastAsia="zh-CN"/>
        </w:rPr>
        <w:t>县级以上人民政府应当</w:t>
      </w:r>
      <w:r>
        <w:rPr>
          <w:rFonts w:hint="eastAsia" w:ascii="仿宋" w:hAnsi="仿宋" w:eastAsia="仿宋" w:cs="仿宋"/>
          <w:b w:val="0"/>
          <w:bCs w:val="0"/>
          <w:color w:val="000000"/>
          <w:spacing w:val="6"/>
          <w:sz w:val="32"/>
          <w:szCs w:val="32"/>
        </w:rPr>
        <w:t>建立资产盘活成效</w:t>
      </w:r>
      <w:r>
        <w:rPr>
          <w:rFonts w:hint="eastAsia" w:ascii="仿宋" w:hAnsi="仿宋" w:eastAsia="仿宋" w:cs="仿宋"/>
          <w:b w:val="0"/>
          <w:bCs w:val="0"/>
          <w:color w:val="000000"/>
          <w:spacing w:val="11"/>
          <w:sz w:val="32"/>
          <w:szCs w:val="32"/>
        </w:rPr>
        <w:t>与新增资产配置预算挂钩机制，通过预算约束推动资产盘活利用。</w:t>
      </w:r>
    </w:p>
    <w:p w14:paraId="1841D8C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对资产闲置浪费严重的部门、单位，财政部门可</w:t>
      </w:r>
      <w:r>
        <w:rPr>
          <w:rFonts w:hint="eastAsia" w:ascii="仿宋" w:hAnsi="仿宋" w:eastAsia="仿宋" w:cs="仿宋"/>
          <w:b w:val="0"/>
          <w:bCs w:val="0"/>
          <w:color w:val="000000"/>
          <w:sz w:val="32"/>
          <w:szCs w:val="32"/>
          <w:lang w:val="en-US" w:eastAsia="zh-CN"/>
        </w:rPr>
        <w:t>以</w:t>
      </w:r>
      <w:r>
        <w:rPr>
          <w:rFonts w:hint="eastAsia" w:ascii="仿宋" w:hAnsi="仿宋" w:eastAsia="仿宋" w:cs="仿宋"/>
          <w:b w:val="0"/>
          <w:bCs w:val="0"/>
          <w:color w:val="000000"/>
          <w:sz w:val="32"/>
          <w:szCs w:val="32"/>
        </w:rPr>
        <w:t>视情况停止批复新增资产配置预算。</w:t>
      </w:r>
    </w:p>
    <w:p w14:paraId="6663CDA4">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各部门及</w:t>
      </w:r>
      <w:r>
        <w:rPr>
          <w:rFonts w:hint="eastAsia" w:ascii="仿宋" w:hAnsi="仿宋" w:eastAsia="仿宋" w:cs="仿宋"/>
          <w:b w:val="0"/>
          <w:bCs w:val="0"/>
          <w:color w:val="000000"/>
          <w:sz w:val="32"/>
          <w:szCs w:val="32"/>
          <w:lang w:val="en-US" w:eastAsia="zh-CN"/>
        </w:rPr>
        <w:t>其</w:t>
      </w:r>
      <w:r>
        <w:rPr>
          <w:rFonts w:hint="eastAsia" w:ascii="仿宋" w:hAnsi="仿宋" w:eastAsia="仿宋" w:cs="仿宋"/>
          <w:b w:val="0"/>
          <w:bCs w:val="0"/>
          <w:color w:val="000000"/>
          <w:sz w:val="32"/>
          <w:szCs w:val="32"/>
        </w:rPr>
        <w:t>所属单位不得购置已用于出租、出借的同类资产。国家另有规定的，从其规定。</w:t>
      </w:r>
    </w:p>
    <w:p w14:paraId="1827CA58">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第二十</w:t>
      </w: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旗县级以上人民政府投资建设公共基础设施，应当依法落实资金来源，加强预算约束，防范政府债务风险，并明确公共基础设施的管理维护责任单位。</w:t>
      </w:r>
    </w:p>
    <w:p w14:paraId="6DAE668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第二十</w:t>
      </w: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行政单位国有资产出租和处置等收入，应当按照政府非税收入和国库集中收缴制度的有关规定管理。</w:t>
      </w:r>
    </w:p>
    <w:p w14:paraId="35187E31">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除国家另有规定外，事业单位国有资产的处置收入应当按照政府非税收入和国库集中收缴制度的有关规定管理。事业单位国有资产使用形成的收入，由</w:t>
      </w:r>
      <w:r>
        <w:rPr>
          <w:rFonts w:hint="eastAsia" w:ascii="仿宋" w:hAnsi="仿宋" w:eastAsia="仿宋" w:cs="仿宋"/>
          <w:b w:val="0"/>
          <w:bCs w:val="0"/>
          <w:color w:val="000000"/>
          <w:sz w:val="32"/>
          <w:szCs w:val="32"/>
          <w:lang w:eastAsia="zh-CN"/>
        </w:rPr>
        <w:t>同级</w:t>
      </w:r>
      <w:r>
        <w:rPr>
          <w:rFonts w:hint="eastAsia" w:ascii="仿宋" w:hAnsi="仿宋" w:eastAsia="仿宋" w:cs="仿宋"/>
          <w:b w:val="0"/>
          <w:bCs w:val="0"/>
          <w:color w:val="000000"/>
          <w:sz w:val="32"/>
          <w:szCs w:val="32"/>
        </w:rPr>
        <w:t>财政部门制定具体管理办法。</w:t>
      </w:r>
    </w:p>
    <w:p w14:paraId="7BA69B55">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各部门及其所属单位应当将</w:t>
      </w:r>
      <w:r>
        <w:rPr>
          <w:rFonts w:hint="eastAsia" w:ascii="仿宋" w:hAnsi="仿宋" w:eastAsia="仿宋" w:cs="仿宋"/>
          <w:b w:val="0"/>
          <w:bCs w:val="0"/>
          <w:color w:val="000000"/>
          <w:sz w:val="32"/>
          <w:szCs w:val="32"/>
        </w:rPr>
        <w:t>依法罚没</w:t>
      </w:r>
      <w:r>
        <w:rPr>
          <w:rFonts w:hint="eastAsia" w:ascii="仿宋" w:hAnsi="仿宋" w:eastAsia="仿宋" w:cs="仿宋"/>
          <w:b w:val="0"/>
          <w:bCs w:val="0"/>
          <w:color w:val="000000"/>
          <w:sz w:val="32"/>
          <w:szCs w:val="32"/>
          <w:lang w:eastAsia="zh-CN"/>
        </w:rPr>
        <w:t>的</w:t>
      </w:r>
      <w:r>
        <w:rPr>
          <w:rFonts w:hint="eastAsia" w:ascii="仿宋" w:hAnsi="仿宋" w:eastAsia="仿宋" w:cs="仿宋"/>
          <w:b w:val="0"/>
          <w:bCs w:val="0"/>
          <w:color w:val="000000"/>
          <w:sz w:val="32"/>
          <w:szCs w:val="32"/>
        </w:rPr>
        <w:t>资产按照国家规定公开拍卖或者按照国家有关规定处理，所得款项全部上缴国库。</w:t>
      </w:r>
    </w:p>
    <w:p w14:paraId="1632DF6D">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禁止</w:t>
      </w:r>
      <w:r>
        <w:rPr>
          <w:rFonts w:hint="eastAsia" w:ascii="仿宋" w:hAnsi="仿宋" w:eastAsia="仿宋" w:cs="仿宋"/>
          <w:b w:val="0"/>
          <w:bCs w:val="0"/>
          <w:color w:val="000000"/>
          <w:sz w:val="32"/>
          <w:szCs w:val="32"/>
        </w:rPr>
        <w:t>借盘活资产名义，对无需处置的行政事业性国有资产进行处置或者虚假交易，以变相虚增财政收入。</w:t>
      </w:r>
    </w:p>
    <w:p w14:paraId="6C93B3F1">
      <w:pPr>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firstLine="0" w:firstLineChars="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 xml:space="preserve">第三章  </w:t>
      </w:r>
      <w:r>
        <w:rPr>
          <w:rFonts w:hint="eastAsia" w:ascii="黑体" w:hAnsi="黑体" w:eastAsia="黑体" w:cs="黑体"/>
          <w:b w:val="0"/>
          <w:bCs w:val="0"/>
          <w:color w:val="000000"/>
          <w:sz w:val="32"/>
          <w:szCs w:val="32"/>
        </w:rPr>
        <w:t>基础管理与资产使用</w:t>
      </w:r>
    </w:p>
    <w:p w14:paraId="5A92AD95">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第二十</w:t>
      </w:r>
      <w:r>
        <w:rPr>
          <w:rFonts w:hint="eastAsia" w:ascii="黑体" w:hAnsi="黑体" w:eastAsia="黑体" w:cs="黑体"/>
          <w:b w:val="0"/>
          <w:bCs w:val="0"/>
          <w:color w:val="000000"/>
          <w:sz w:val="32"/>
          <w:szCs w:val="32"/>
          <w:lang w:eastAsia="zh-CN"/>
        </w:rPr>
        <w:t>四</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各部门及其所属单位应当按照国家和自治区规定设置行政事业性国有资产台账，依照国家统一的会计制度进行会计核算，所有资本性支出应当形成资产并全程登记，不得形成账外资产。</w:t>
      </w:r>
    </w:p>
    <w:p w14:paraId="1AA09E5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各部门及其所属单位处置资产应当及时核销相关资产台账信息，</w:t>
      </w:r>
      <w:r>
        <w:rPr>
          <w:rFonts w:hint="eastAsia" w:ascii="仿宋" w:hAnsi="仿宋" w:eastAsia="仿宋" w:cs="仿宋"/>
          <w:b w:val="0"/>
          <w:bCs w:val="0"/>
          <w:color w:val="000000"/>
          <w:sz w:val="32"/>
          <w:szCs w:val="32"/>
          <w:lang w:eastAsia="zh-CN"/>
        </w:rPr>
        <w:t>并</w:t>
      </w:r>
      <w:r>
        <w:rPr>
          <w:rFonts w:hint="eastAsia" w:ascii="仿宋" w:hAnsi="仿宋" w:eastAsia="仿宋" w:cs="仿宋"/>
          <w:b w:val="0"/>
          <w:bCs w:val="0"/>
          <w:color w:val="000000"/>
          <w:sz w:val="32"/>
          <w:szCs w:val="32"/>
        </w:rPr>
        <w:t>进行会计处理。</w:t>
      </w:r>
    </w:p>
    <w:p w14:paraId="768410BB">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第二十</w:t>
      </w:r>
      <w:r>
        <w:rPr>
          <w:rFonts w:hint="eastAsia" w:ascii="黑体" w:hAnsi="黑体" w:eastAsia="黑体" w:cs="黑体"/>
          <w:b w:val="0"/>
          <w:bCs w:val="0"/>
          <w:color w:val="000000"/>
          <w:sz w:val="32"/>
          <w:szCs w:val="32"/>
          <w:lang w:eastAsia="zh-CN"/>
        </w:rPr>
        <w:t>五</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各部门及其所属单位采用建设方式配置资产的，应当在建设项目竣工验收合格后及时办理资产交付手续，并在规定期限内办理竣工财务决算，期限最长不得超过1年。</w:t>
      </w:r>
    </w:p>
    <w:p w14:paraId="1F56C29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各部门及其所属单位</w:t>
      </w:r>
      <w:r>
        <w:rPr>
          <w:rFonts w:hint="eastAsia" w:ascii="仿宋" w:hAnsi="仿宋" w:eastAsia="仿宋" w:cs="仿宋"/>
          <w:b w:val="0"/>
          <w:bCs w:val="0"/>
          <w:color w:val="000000"/>
          <w:sz w:val="32"/>
          <w:szCs w:val="32"/>
          <w:lang w:eastAsia="zh-CN"/>
        </w:rPr>
        <w:t>对</w:t>
      </w:r>
      <w:r>
        <w:rPr>
          <w:rFonts w:hint="eastAsia" w:ascii="仿宋" w:hAnsi="仿宋" w:eastAsia="仿宋" w:cs="仿宋"/>
          <w:b w:val="0"/>
          <w:bCs w:val="0"/>
          <w:color w:val="000000"/>
          <w:sz w:val="32"/>
          <w:szCs w:val="32"/>
        </w:rPr>
        <w:t>已交付但未办理竣工财务决算的建设项目，应当按照国家统一的会计制度确认资产价值。</w:t>
      </w:r>
    </w:p>
    <w:p w14:paraId="4D429590">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第二十</w:t>
      </w:r>
      <w:r>
        <w:rPr>
          <w:rFonts w:hint="eastAsia" w:ascii="黑体" w:hAnsi="黑体" w:eastAsia="黑体" w:cs="黑体"/>
          <w:b w:val="0"/>
          <w:bCs w:val="0"/>
          <w:color w:val="000000"/>
          <w:sz w:val="32"/>
          <w:szCs w:val="32"/>
          <w:lang w:eastAsia="zh-CN"/>
        </w:rPr>
        <w:t>六</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各部门及其所属单位对需要办理权属登记的资产应当依法及时办理。对有账簿记录但权证手续不全的行政事业性国有资产，可以向本级人民政府有关主管部门提出确认资产权属申请，及时办理权属登记。</w:t>
      </w:r>
    </w:p>
    <w:p w14:paraId="50247874">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i w:val="0"/>
          <w:snapToGrid/>
          <w:color w:val="000000"/>
          <w:sz w:val="32"/>
          <w:shd w:val="clear" w:color="auto" w:fill="FFFFFF"/>
          <w:lang w:eastAsia="zh-CN"/>
        </w:rPr>
        <w:t>各部门及其所属单位之间，各部门及其所属单位与其他单位和个人之间发生资产纠纷的，应当依照有关法律、法规规定采取协商等方式处理。</w:t>
      </w:r>
    </w:p>
    <w:p w14:paraId="6E49720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第二十</w:t>
      </w:r>
      <w:r>
        <w:rPr>
          <w:rFonts w:hint="eastAsia" w:ascii="黑体" w:hAnsi="黑体" w:eastAsia="黑体" w:cs="黑体"/>
          <w:b w:val="0"/>
          <w:bCs w:val="0"/>
          <w:color w:val="000000"/>
          <w:sz w:val="32"/>
          <w:szCs w:val="32"/>
          <w:lang w:eastAsia="zh-CN"/>
        </w:rPr>
        <w:t>七</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各部门及其所属单位应当建立健全行政事业性国有资产损失的追责机制，落实相应的法律责任。</w:t>
      </w:r>
    </w:p>
    <w:p w14:paraId="4A53D03C">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第二十</w:t>
      </w:r>
      <w:r>
        <w:rPr>
          <w:rFonts w:hint="eastAsia" w:ascii="黑体" w:hAnsi="黑体" w:eastAsia="黑体" w:cs="黑体"/>
          <w:b w:val="0"/>
          <w:bCs w:val="0"/>
          <w:color w:val="000000"/>
          <w:sz w:val="32"/>
          <w:szCs w:val="32"/>
          <w:lang w:eastAsia="zh-CN"/>
        </w:rPr>
        <w:t>八</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各部门及其所属单位应当定期或者不定期对资产进行盘点、对账。出现资产盘盈盘亏的，应当按照财务、会计和资产管理制度有关规定处理，做到账实相符和账账相符。</w:t>
      </w:r>
    </w:p>
    <w:p w14:paraId="400F40AB">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各部门及其所属单位应当</w:t>
      </w:r>
      <w:r>
        <w:rPr>
          <w:rFonts w:hint="eastAsia" w:ascii="仿宋" w:hAnsi="仿宋" w:eastAsia="仿宋" w:cs="仿宋"/>
          <w:b w:val="0"/>
          <w:bCs w:val="0"/>
          <w:color w:val="000000"/>
          <w:sz w:val="32"/>
          <w:szCs w:val="32"/>
          <w:lang w:eastAsia="zh-CN"/>
        </w:rPr>
        <w:t>每年</w:t>
      </w:r>
      <w:r>
        <w:rPr>
          <w:rFonts w:hint="eastAsia" w:ascii="仿宋" w:hAnsi="仿宋" w:eastAsia="仿宋" w:cs="仿宋"/>
          <w:b w:val="0"/>
          <w:bCs w:val="0"/>
          <w:color w:val="000000"/>
          <w:sz w:val="32"/>
          <w:szCs w:val="32"/>
        </w:rPr>
        <w:t>结合年度资产盘点工作开展专项清理，梳理资产使用情况，将低效运转、闲置的房屋、土地、车辆、办公设备家具、大型仪器、软件等资产纳入盘活范围，通过自用、共享、调剂、出租、</w:t>
      </w:r>
      <w:r>
        <w:rPr>
          <w:rFonts w:hint="eastAsia" w:ascii="仿宋" w:hAnsi="仿宋" w:eastAsia="仿宋" w:cs="仿宋"/>
          <w:b w:val="0"/>
          <w:bCs w:val="0"/>
          <w:color w:val="000000"/>
          <w:spacing w:val="6"/>
          <w:sz w:val="32"/>
          <w:szCs w:val="32"/>
        </w:rPr>
        <w:t>处置等多种方式，推进资产盘活</w:t>
      </w:r>
      <w:r>
        <w:rPr>
          <w:rFonts w:hint="eastAsia" w:ascii="仿宋" w:hAnsi="仿宋" w:eastAsia="仿宋" w:cs="仿宋"/>
          <w:b w:val="0"/>
          <w:bCs w:val="0"/>
          <w:color w:val="000000"/>
          <w:sz w:val="32"/>
          <w:szCs w:val="32"/>
        </w:rPr>
        <w:t>，发挥资产利用效能</w:t>
      </w:r>
      <w:r>
        <w:rPr>
          <w:rFonts w:hint="eastAsia" w:ascii="仿宋" w:hAnsi="仿宋" w:eastAsia="仿宋" w:cs="仿宋"/>
          <w:b w:val="0"/>
          <w:bCs w:val="0"/>
          <w:color w:val="000000"/>
          <w:sz w:val="32"/>
          <w:szCs w:val="32"/>
          <w:lang w:eastAsia="zh-CN"/>
        </w:rPr>
        <w:t>。</w:t>
      </w:r>
    </w:p>
    <w:p w14:paraId="3678540E">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第二十</w:t>
      </w:r>
      <w:r>
        <w:rPr>
          <w:rFonts w:hint="eastAsia" w:ascii="黑体" w:hAnsi="黑体" w:eastAsia="黑体" w:cs="黑体"/>
          <w:b w:val="0"/>
          <w:bCs w:val="0"/>
          <w:color w:val="000000"/>
          <w:sz w:val="32"/>
          <w:szCs w:val="32"/>
          <w:lang w:eastAsia="zh-CN"/>
        </w:rPr>
        <w:t>九</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各部门及其所属单位应当利用各种资产盘活方式，能够在本单位范围内盘活的资产</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应当</w:t>
      </w:r>
      <w:r>
        <w:rPr>
          <w:rFonts w:hint="eastAsia" w:ascii="仿宋" w:hAnsi="仿宋" w:eastAsia="仿宋" w:cs="仿宋"/>
          <w:b w:val="0"/>
          <w:bCs w:val="0"/>
          <w:color w:val="000000"/>
          <w:sz w:val="32"/>
          <w:szCs w:val="32"/>
        </w:rPr>
        <w:t>加快盘活利用；本单位无法盘活的</w:t>
      </w:r>
      <w:r>
        <w:rPr>
          <w:rFonts w:hint="eastAsia" w:ascii="仿宋" w:hAnsi="仿宋" w:eastAsia="仿宋" w:cs="仿宋"/>
          <w:b w:val="0"/>
          <w:bCs w:val="0"/>
          <w:color w:val="000000"/>
          <w:sz w:val="32"/>
          <w:szCs w:val="32"/>
          <w:lang w:val="en-US" w:eastAsia="zh-CN"/>
        </w:rPr>
        <w:t>资产</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应当</w:t>
      </w:r>
      <w:r>
        <w:rPr>
          <w:rFonts w:hint="eastAsia" w:ascii="仿宋" w:hAnsi="仿宋" w:eastAsia="仿宋" w:cs="仿宋"/>
          <w:b w:val="0"/>
          <w:bCs w:val="0"/>
          <w:color w:val="000000"/>
          <w:sz w:val="32"/>
          <w:szCs w:val="32"/>
        </w:rPr>
        <w:t>及时将待盘活资产信息报本单位上级主管部门。</w:t>
      </w:r>
    </w:p>
    <w:p w14:paraId="3BC16379">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各</w:t>
      </w:r>
      <w:r>
        <w:rPr>
          <w:rFonts w:hint="eastAsia" w:ascii="仿宋" w:hAnsi="仿宋" w:eastAsia="仿宋" w:cs="仿宋"/>
          <w:b w:val="0"/>
          <w:bCs w:val="0"/>
          <w:color w:val="000000"/>
          <w:sz w:val="32"/>
          <w:szCs w:val="32"/>
        </w:rPr>
        <w:t>部门应当建立健全部门资产盘活机制，指导所属单位通过资产调剂等方式盘活资产，推动资产在本部门所属单位间盘活利用；对于本部门无法有效盘活的资产，应当及时将资产信息反馈</w:t>
      </w:r>
      <w:r>
        <w:rPr>
          <w:rFonts w:hint="eastAsia" w:ascii="仿宋" w:hAnsi="仿宋" w:eastAsia="仿宋" w:cs="仿宋"/>
          <w:b w:val="0"/>
          <w:bCs w:val="0"/>
          <w:color w:val="000000"/>
          <w:sz w:val="32"/>
          <w:szCs w:val="32"/>
          <w:lang w:eastAsia="zh-CN"/>
        </w:rPr>
        <w:t>同级</w:t>
      </w:r>
      <w:r>
        <w:rPr>
          <w:rFonts w:hint="eastAsia" w:ascii="仿宋" w:hAnsi="仿宋" w:eastAsia="仿宋" w:cs="仿宋"/>
          <w:b w:val="0"/>
          <w:bCs w:val="0"/>
          <w:color w:val="000000"/>
          <w:sz w:val="32"/>
          <w:szCs w:val="32"/>
        </w:rPr>
        <w:t>财政部门。</w:t>
      </w:r>
    </w:p>
    <w:p w14:paraId="717FA48A">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旗县级以上人民政府</w:t>
      </w:r>
      <w:r>
        <w:rPr>
          <w:rFonts w:hint="eastAsia" w:ascii="仿宋" w:hAnsi="仿宋" w:eastAsia="仿宋" w:cs="仿宋"/>
          <w:b w:val="0"/>
          <w:bCs w:val="0"/>
          <w:color w:val="000000"/>
          <w:sz w:val="32"/>
          <w:szCs w:val="32"/>
        </w:rPr>
        <w:t>财政部门应当加强组织协调和政策指导，整合行政事业单位待盘活资产信息，建立健全信息发布机制，促进待盘活资产由闲置向在用转化，打通部门间资产盘活通道。</w:t>
      </w:r>
    </w:p>
    <w:p w14:paraId="1B293735">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十条</w:t>
      </w:r>
      <w:r>
        <w:rPr>
          <w:rFonts w:hint="eastAsia" w:ascii="仿宋" w:hAnsi="仿宋" w:eastAsia="仿宋" w:cs="仿宋"/>
          <w:b w:val="0"/>
          <w:bCs w:val="0"/>
          <w:color w:val="000000"/>
          <w:sz w:val="32"/>
          <w:szCs w:val="32"/>
        </w:rPr>
        <w:t xml:space="preserve">  各部门及其所属单位应当加强对本单位流动资产、固定资产、在建工程、无形资产等各类行政事业性国有资产的管理，明确管理责任，规范使用流程，加强产权保护，推进相关资产安全有效使用。</w:t>
      </w:r>
    </w:p>
    <w:p w14:paraId="4F6722B6">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第三十</w:t>
      </w:r>
      <w:r>
        <w:rPr>
          <w:rFonts w:hint="eastAsia" w:ascii="黑体" w:hAnsi="黑体" w:eastAsia="黑体" w:cs="黑体"/>
          <w:b w:val="0"/>
          <w:bCs w:val="0"/>
          <w:color w:val="000000"/>
          <w:sz w:val="32"/>
          <w:szCs w:val="32"/>
          <w:lang w:eastAsia="zh-CN"/>
        </w:rPr>
        <w:t>一</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各部门及其所属单位应当将资产使用管理责任落实到人，明确行政事业性国有资产使用人和管理人的岗位责任，确保资产安全完整、高效利用。</w:t>
      </w:r>
    </w:p>
    <w:p w14:paraId="2F150D59">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资产使用人、管理人应当按照规程合理使用、管理资产，充分发</w:t>
      </w:r>
      <w:r>
        <w:rPr>
          <w:rFonts w:hint="eastAsia" w:ascii="仿宋" w:hAnsi="仿宋" w:eastAsia="仿宋" w:cs="仿宋"/>
          <w:b w:val="0"/>
          <w:bCs w:val="0"/>
          <w:color w:val="000000"/>
          <w:spacing w:val="-6"/>
          <w:sz w:val="32"/>
          <w:szCs w:val="32"/>
        </w:rPr>
        <w:t>挥资产效能。资产需要维修、保养、调剂、更新、报废的，资</w:t>
      </w:r>
      <w:r>
        <w:rPr>
          <w:rFonts w:hint="eastAsia" w:ascii="仿宋" w:hAnsi="仿宋" w:eastAsia="仿宋" w:cs="仿宋"/>
          <w:b w:val="0"/>
          <w:bCs w:val="0"/>
          <w:color w:val="000000"/>
          <w:sz w:val="32"/>
          <w:szCs w:val="32"/>
        </w:rPr>
        <w:t>产使用人、管理人应当及时提出。</w:t>
      </w:r>
    </w:p>
    <w:p w14:paraId="5BC1A6CE">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16" w:firstLineChars="200"/>
        <w:jc w:val="both"/>
        <w:textAlignment w:val="auto"/>
        <w:rPr>
          <w:rFonts w:hint="eastAsia" w:ascii="仿宋" w:hAnsi="仿宋" w:eastAsia="仿宋" w:cs="仿宋"/>
          <w:b w:val="0"/>
          <w:bCs w:val="0"/>
          <w:color w:val="000000"/>
          <w:spacing w:val="-6"/>
          <w:sz w:val="32"/>
          <w:szCs w:val="32"/>
        </w:rPr>
      </w:pPr>
      <w:r>
        <w:rPr>
          <w:rFonts w:hint="eastAsia" w:ascii="仿宋" w:hAnsi="仿宋" w:eastAsia="仿宋" w:cs="仿宋"/>
          <w:b w:val="0"/>
          <w:bCs w:val="0"/>
          <w:color w:val="000000"/>
          <w:spacing w:val="-6"/>
          <w:sz w:val="32"/>
          <w:szCs w:val="32"/>
        </w:rPr>
        <w:t>资产使用人、管理人发生变化的，应当及时办理资产交接手续。</w:t>
      </w:r>
    </w:p>
    <w:p w14:paraId="01D51B3B">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第三十</w:t>
      </w: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行政单位国有资产应当用于本单位履行职能的需要。</w:t>
      </w:r>
    </w:p>
    <w:p w14:paraId="5F44B999">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行政单位不得以任何形式将国有资产用于对外投资或者设立营利性组织</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法律另有规定的，从其规定。</w:t>
      </w:r>
    </w:p>
    <w:p w14:paraId="60A1667F">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第三十</w:t>
      </w: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事业单位国有资产应当用于保障事业发展、提供公共服务。</w:t>
      </w:r>
    </w:p>
    <w:p w14:paraId="55EEDFF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事业单位利用国有资产对外投资应当符合国家有关规定，有利于事业发展和实现国有资产保值增值，并经可行性研究和集体决策，按照规定权限和程序进行。</w:t>
      </w:r>
    </w:p>
    <w:p w14:paraId="204D344D">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事业单位应当明确对外投资形成的股权及其相关权益管理责任，按照规定将对外投资形成的股权纳入经营性国有资产集中统一监管体系。</w:t>
      </w:r>
    </w:p>
    <w:p w14:paraId="1E9814BF">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第三十四条</w:t>
      </w:r>
      <w:r>
        <w:rPr>
          <w:rFonts w:hint="eastAsia" w:ascii="仿宋" w:hAnsi="仿宋" w:eastAsia="仿宋" w:cs="仿宋"/>
          <w:b w:val="0"/>
          <w:bCs w:val="0"/>
          <w:color w:val="000000"/>
          <w:sz w:val="32"/>
          <w:szCs w:val="32"/>
        </w:rPr>
        <w:t xml:space="preserve">  各部门及其所属单位应当加强资产全生命周期管</w:t>
      </w:r>
      <w:r>
        <w:rPr>
          <w:rFonts w:hint="eastAsia" w:ascii="仿宋" w:hAnsi="仿宋" w:eastAsia="仿宋" w:cs="仿宋"/>
          <w:b w:val="0"/>
          <w:bCs w:val="0"/>
          <w:color w:val="000000"/>
          <w:spacing w:val="-6"/>
          <w:sz w:val="32"/>
          <w:szCs w:val="32"/>
        </w:rPr>
        <w:t>理，在规范审批程序的基础上，加快办理资产出租、处置事项。</w:t>
      </w:r>
    </w:p>
    <w:p w14:paraId="7288AB86">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right="0" w:rightChars="0"/>
        <w:jc w:val="both"/>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val="en-US" w:eastAsia="zh-CN"/>
        </w:rPr>
        <w:t xml:space="preserve"> </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第三十五条</w:t>
      </w:r>
      <w:r>
        <w:rPr>
          <w:rFonts w:hint="eastAsia" w:ascii="仿宋" w:hAnsi="仿宋" w:eastAsia="仿宋" w:cs="仿宋"/>
          <w:b w:val="0"/>
          <w:bCs w:val="0"/>
          <w:color w:val="000000"/>
          <w:sz w:val="32"/>
          <w:szCs w:val="32"/>
        </w:rPr>
        <w:t xml:space="preserve"> </w:t>
      </w: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32"/>
          <w:szCs w:val="32"/>
        </w:rPr>
        <w:t>各部门及其所属单位难以调剂利用的办公用房、仪器设备等资产，按照规定的权限审批后，可以对外出租或者处置。国家另有规定</w:t>
      </w:r>
      <w:r>
        <w:rPr>
          <w:rFonts w:hint="eastAsia" w:ascii="仿宋" w:hAnsi="仿宋" w:eastAsia="仿宋" w:cs="仿宋"/>
          <w:b w:val="0"/>
          <w:bCs w:val="0"/>
          <w:color w:val="000000"/>
          <w:sz w:val="32"/>
          <w:szCs w:val="32"/>
          <w:lang w:eastAsia="zh-CN"/>
        </w:rPr>
        <w:t>的，从其规定。</w:t>
      </w:r>
    </w:p>
    <w:p w14:paraId="74CFA188">
      <w:pPr>
        <w:pStyle w:val="42"/>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jc w:val="both"/>
        <w:textAlignment w:val="auto"/>
        <w:rPr>
          <w:rFonts w:hint="eastAsia" w:ascii="仿宋" w:hAnsi="仿宋" w:eastAsia="仿宋" w:cs="仿宋"/>
          <w:b w:val="0"/>
          <w:bCs w:val="0"/>
          <w:color w:val="000000"/>
          <w:sz w:val="32"/>
          <w:lang w:val="en-US"/>
        </w:rPr>
      </w:pPr>
      <w:r>
        <w:rPr>
          <w:rFonts w:hint="eastAsia" w:ascii="仿宋" w:hAnsi="仿宋" w:eastAsia="仿宋" w:cs="仿宋"/>
          <w:b w:val="0"/>
          <w:bCs w:val="0"/>
          <w:color w:val="000000"/>
          <w:sz w:val="32"/>
          <w:szCs w:val="32"/>
          <w:lang w:val="en-US" w:eastAsia="zh-CN"/>
        </w:rPr>
        <w:t xml:space="preserve">    各部门及其所属单位</w:t>
      </w:r>
      <w:r>
        <w:rPr>
          <w:rFonts w:hint="eastAsia" w:ascii="仿宋" w:hAnsi="仿宋" w:eastAsia="仿宋" w:cs="仿宋"/>
          <w:b w:val="0"/>
          <w:bCs w:val="0"/>
          <w:color w:val="000000"/>
          <w:sz w:val="32"/>
          <w:szCs w:val="32"/>
        </w:rPr>
        <w:t>国有资产出租、处置应当遵循公开、公正、公平和竞争择优的原则。</w:t>
      </w:r>
    </w:p>
    <w:p w14:paraId="389DAF8B">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第三十六条</w:t>
      </w:r>
      <w:r>
        <w:rPr>
          <w:rFonts w:hint="eastAsia" w:ascii="仿宋" w:hAnsi="仿宋" w:eastAsia="仿宋" w:cs="仿宋"/>
          <w:b w:val="0"/>
          <w:bCs w:val="0"/>
          <w:color w:val="000000"/>
          <w:sz w:val="32"/>
          <w:szCs w:val="32"/>
        </w:rPr>
        <w:t xml:space="preserve">  各部门及其所属单位接受捐赠的行政事业性国有资产，应当按照捐赠约定的用途使用。</w:t>
      </w:r>
    </w:p>
    <w:p w14:paraId="01C7F31A">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16"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pacing w:val="-6"/>
          <w:sz w:val="32"/>
          <w:szCs w:val="32"/>
        </w:rPr>
        <w:t>捐赠人意愿不明确或者没有约定用途的，应当统筹安排使用。</w:t>
      </w:r>
    </w:p>
    <w:p w14:paraId="432395B6">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第三十七条</w:t>
      </w:r>
      <w:r>
        <w:rPr>
          <w:rFonts w:hint="eastAsia" w:ascii="仿宋" w:hAnsi="仿宋" w:eastAsia="仿宋" w:cs="仿宋"/>
          <w:b w:val="0"/>
          <w:bCs w:val="0"/>
          <w:color w:val="000000"/>
          <w:sz w:val="32"/>
          <w:szCs w:val="32"/>
        </w:rPr>
        <w:t xml:space="preserve">  旗县级以上人民政府及其有关部门应当建立健全行政事业性国有资产共享共用机制，采取措施引导和鼓励国有资产共享共用。</w:t>
      </w:r>
    </w:p>
    <w:p w14:paraId="4F7EEE0C">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旗县级以上人民政府教育、科技、文化</w:t>
      </w:r>
      <w:r>
        <w:rPr>
          <w:rFonts w:hint="eastAsia" w:ascii="仿宋" w:hAnsi="仿宋" w:eastAsia="仿宋" w:cs="仿宋"/>
          <w:b w:val="0"/>
          <w:bCs w:val="0"/>
          <w:color w:val="000000"/>
          <w:sz w:val="32"/>
          <w:szCs w:val="32"/>
          <w:lang w:eastAsia="zh-CN"/>
        </w:rPr>
        <w:t>和旅游</w:t>
      </w:r>
      <w:r>
        <w:rPr>
          <w:rFonts w:hint="eastAsia" w:ascii="仿宋" w:hAnsi="仿宋" w:eastAsia="仿宋" w:cs="仿宋"/>
          <w:b w:val="0"/>
          <w:bCs w:val="0"/>
          <w:color w:val="000000"/>
          <w:sz w:val="32"/>
          <w:szCs w:val="32"/>
        </w:rPr>
        <w:t>、卫生</w:t>
      </w:r>
      <w:r>
        <w:rPr>
          <w:rFonts w:hint="eastAsia" w:ascii="仿宋" w:hAnsi="仿宋" w:eastAsia="仿宋" w:cs="仿宋"/>
          <w:b w:val="0"/>
          <w:bCs w:val="0"/>
          <w:color w:val="000000"/>
          <w:sz w:val="32"/>
          <w:szCs w:val="32"/>
          <w:lang w:eastAsia="zh-CN"/>
        </w:rPr>
        <w:t>健康</w:t>
      </w:r>
      <w:r>
        <w:rPr>
          <w:rFonts w:hint="eastAsia" w:ascii="仿宋" w:hAnsi="仿宋" w:eastAsia="仿宋" w:cs="仿宋"/>
          <w:b w:val="0"/>
          <w:bCs w:val="0"/>
          <w:color w:val="000000"/>
          <w:sz w:val="32"/>
          <w:szCs w:val="32"/>
        </w:rPr>
        <w:t>、体育等部门应当建立本行业资产共享共用机制。</w:t>
      </w:r>
    </w:p>
    <w:p w14:paraId="1F14824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各部门及其所属单位应当</w:t>
      </w:r>
      <w:r>
        <w:rPr>
          <w:rFonts w:hint="eastAsia" w:ascii="仿宋" w:hAnsi="仿宋" w:eastAsia="仿宋" w:cs="仿宋"/>
          <w:b w:val="0"/>
          <w:bCs w:val="0"/>
          <w:color w:val="000000"/>
          <w:sz w:val="32"/>
          <w:szCs w:val="32"/>
        </w:rPr>
        <w:t>根据行业资产管理情况，筛选具备条件的资产开展共享共用工作，包括仪器设备、文体设施、软件资产、数据资源等。</w:t>
      </w:r>
    </w:p>
    <w:p w14:paraId="00224BAB">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16"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pacing w:val="-6"/>
          <w:sz w:val="32"/>
          <w:szCs w:val="32"/>
          <w:lang w:eastAsia="zh-CN"/>
        </w:rPr>
        <w:t>各部门及其所属单位应当</w:t>
      </w:r>
      <w:r>
        <w:rPr>
          <w:rFonts w:hint="eastAsia" w:ascii="仿宋" w:hAnsi="仿宋" w:eastAsia="仿宋" w:cs="仿宋"/>
          <w:b w:val="0"/>
          <w:bCs w:val="0"/>
          <w:color w:val="000000"/>
          <w:spacing w:val="-6"/>
          <w:sz w:val="32"/>
          <w:szCs w:val="32"/>
        </w:rPr>
        <w:t>在确保安全使用的前提下，推进</w:t>
      </w:r>
      <w:r>
        <w:rPr>
          <w:rFonts w:hint="eastAsia" w:ascii="仿宋" w:hAnsi="仿宋" w:eastAsia="仿宋" w:cs="仿宋"/>
          <w:b w:val="0"/>
          <w:bCs w:val="0"/>
          <w:color w:val="000000"/>
          <w:spacing w:val="-6"/>
          <w:sz w:val="32"/>
          <w:szCs w:val="32"/>
          <w:lang w:eastAsia="zh-CN"/>
        </w:rPr>
        <w:t>本单位</w:t>
      </w:r>
      <w:r>
        <w:rPr>
          <w:rFonts w:hint="eastAsia" w:ascii="仿宋" w:hAnsi="仿宋" w:eastAsia="仿宋" w:cs="仿宋"/>
          <w:b w:val="0"/>
          <w:bCs w:val="0"/>
          <w:color w:val="000000"/>
          <w:spacing w:val="-6"/>
          <w:sz w:val="32"/>
          <w:szCs w:val="32"/>
        </w:rPr>
        <w:t>大型设备等国有资产共享共用，对提供方可以给予合理补偿。</w:t>
      </w:r>
    </w:p>
    <w:p w14:paraId="0B33D86D">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第三十</w:t>
      </w:r>
      <w:r>
        <w:rPr>
          <w:rFonts w:hint="eastAsia" w:ascii="黑体" w:hAnsi="黑体" w:eastAsia="黑体" w:cs="黑体"/>
          <w:b w:val="0"/>
          <w:bCs w:val="0"/>
          <w:color w:val="000000"/>
          <w:sz w:val="32"/>
          <w:szCs w:val="32"/>
          <w:lang w:eastAsia="zh-CN"/>
        </w:rPr>
        <w:t>八</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旗县级以上人民政府财政部门应当推进资产管理融入预算管理一体化系统，建立预算资金形成资产的全链条管理机制，推进资产管理网上办理，完善在线审核流程，推动实现资产跨部门、跨地区、跨级次共享调剂。</w:t>
      </w:r>
    </w:p>
    <w:p w14:paraId="06D4E354">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rPr>
      </w:pPr>
      <w:r>
        <w:rPr>
          <w:rFonts w:hint="eastAsia" w:ascii="仿宋" w:hAnsi="仿宋" w:eastAsia="仿宋" w:cs="仿宋"/>
          <w:b w:val="0"/>
          <w:bCs w:val="0"/>
          <w:color w:val="000000"/>
          <w:sz w:val="32"/>
          <w:szCs w:val="32"/>
        </w:rPr>
        <w:t>鼓励基于物联网技术开展资产使用管理动态监测，实时掌握资产使用状况，为资产管理提供及时准确的基础信息。</w:t>
      </w:r>
    </w:p>
    <w:p w14:paraId="0FA37C95">
      <w:pPr>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firstLine="0" w:firstLineChars="0"/>
        <w:jc w:val="center"/>
        <w:textAlignment w:val="auto"/>
        <w:rPr>
          <w:rFonts w:hint="eastAsia" w:ascii="仿宋" w:hAnsi="仿宋" w:eastAsia="仿宋" w:cs="仿宋"/>
          <w:b w:val="0"/>
          <w:bCs w:val="0"/>
          <w:color w:val="000000"/>
          <w:sz w:val="32"/>
        </w:rPr>
      </w:pPr>
      <w:r>
        <w:rPr>
          <w:rFonts w:hint="eastAsia" w:ascii="黑体" w:hAnsi="黑体" w:eastAsia="黑体" w:cs="黑体"/>
          <w:b w:val="0"/>
          <w:bCs w:val="0"/>
          <w:color w:val="000000"/>
          <w:sz w:val="32"/>
          <w:szCs w:val="32"/>
        </w:rPr>
        <w:t>第四章  资产处置</w:t>
      </w:r>
    </w:p>
    <w:p w14:paraId="1D206BA6">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eastAsia="zh-CN"/>
        </w:rPr>
        <w:t>三十九</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任何部门、单位未经批准不得自行处置行政事业性国有资产。</w:t>
      </w:r>
    </w:p>
    <w:p w14:paraId="037BFF17">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各部门及其所属单位应当根据履行职能、事业发展需要和资产使用状况，经集体决策和履行审批程序，依据处置</w:t>
      </w:r>
      <w:r>
        <w:rPr>
          <w:rFonts w:hint="eastAsia" w:ascii="仿宋" w:hAnsi="仿宋" w:eastAsia="仿宋" w:cs="仿宋"/>
          <w:b w:val="0"/>
          <w:bCs w:val="0"/>
          <w:color w:val="000000"/>
          <w:sz w:val="32"/>
          <w:szCs w:val="32"/>
          <w:lang w:eastAsia="zh-CN"/>
        </w:rPr>
        <w:t>事项</w:t>
      </w:r>
      <w:r>
        <w:rPr>
          <w:rFonts w:hint="eastAsia" w:ascii="仿宋" w:hAnsi="仿宋" w:eastAsia="仿宋" w:cs="仿宋"/>
          <w:b w:val="0"/>
          <w:bCs w:val="0"/>
          <w:color w:val="000000"/>
          <w:sz w:val="32"/>
          <w:szCs w:val="32"/>
        </w:rPr>
        <w:t>批复等文件及时处置行政事业性国有资产。</w:t>
      </w:r>
    </w:p>
    <w:p w14:paraId="2AE5DD7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第四十条</w:t>
      </w:r>
      <w:r>
        <w:rPr>
          <w:rFonts w:hint="eastAsia" w:ascii="仿宋" w:hAnsi="仿宋" w:eastAsia="仿宋" w:cs="仿宋"/>
          <w:b w:val="0"/>
          <w:bCs w:val="0"/>
          <w:color w:val="000000"/>
          <w:sz w:val="32"/>
          <w:szCs w:val="32"/>
        </w:rPr>
        <w:t xml:space="preserve"> </w:t>
      </w: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32"/>
          <w:szCs w:val="32"/>
        </w:rPr>
        <w:t>行政事业性国有资产处置应当</w:t>
      </w:r>
      <w:r>
        <w:rPr>
          <w:rFonts w:hint="eastAsia" w:ascii="仿宋" w:hAnsi="仿宋" w:eastAsia="仿宋" w:cs="仿宋"/>
          <w:b w:val="0"/>
          <w:bCs w:val="0"/>
          <w:color w:val="000000"/>
          <w:sz w:val="32"/>
          <w:szCs w:val="32"/>
          <w:lang w:eastAsia="zh-CN"/>
        </w:rPr>
        <w:t>遵循</w:t>
      </w:r>
      <w:r>
        <w:rPr>
          <w:rFonts w:hint="eastAsia" w:ascii="仿宋" w:hAnsi="仿宋" w:eastAsia="仿宋" w:cs="仿宋"/>
          <w:b w:val="0"/>
          <w:bCs w:val="0"/>
          <w:color w:val="000000"/>
          <w:sz w:val="32"/>
          <w:szCs w:val="32"/>
        </w:rPr>
        <w:t>下列原则:</w:t>
      </w:r>
    </w:p>
    <w:p w14:paraId="55C536D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一</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公开、公平、公正;</w:t>
      </w:r>
    </w:p>
    <w:p w14:paraId="2664FE8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二</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资产处置与资产配置、使用相结合;</w:t>
      </w:r>
    </w:p>
    <w:p w14:paraId="18BD824F">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三</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厉行勤俭节约，反对浪费。</w:t>
      </w:r>
    </w:p>
    <w:p w14:paraId="0EE96A90">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第四十</w:t>
      </w:r>
      <w:r>
        <w:rPr>
          <w:rFonts w:hint="eastAsia" w:ascii="黑体" w:hAnsi="黑体" w:eastAsia="黑体" w:cs="黑体"/>
          <w:b w:val="0"/>
          <w:bCs w:val="0"/>
          <w:color w:val="000000"/>
          <w:sz w:val="32"/>
          <w:szCs w:val="32"/>
          <w:lang w:eastAsia="zh-CN"/>
        </w:rPr>
        <w:t>一</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行政事业性国有资产处置方式包括无偿划转、对外捐赠、转让、置换、报废、</w:t>
      </w:r>
      <w:r>
        <w:rPr>
          <w:rFonts w:hint="eastAsia" w:ascii="仿宋" w:hAnsi="仿宋" w:eastAsia="仿宋" w:cs="仿宋"/>
          <w:b w:val="0"/>
          <w:bCs w:val="0"/>
          <w:color w:val="000000"/>
          <w:sz w:val="32"/>
          <w:szCs w:val="32"/>
          <w:lang w:eastAsia="zh-CN"/>
        </w:rPr>
        <w:t>报损</w:t>
      </w:r>
      <w:r>
        <w:rPr>
          <w:rFonts w:hint="eastAsia" w:ascii="仿宋" w:hAnsi="仿宋" w:eastAsia="仿宋" w:cs="仿宋"/>
          <w:b w:val="0"/>
          <w:bCs w:val="0"/>
          <w:color w:val="000000"/>
          <w:sz w:val="32"/>
          <w:szCs w:val="32"/>
        </w:rPr>
        <w:t>。</w:t>
      </w:r>
    </w:p>
    <w:p w14:paraId="3E51EF9E">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第四十</w:t>
      </w: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各部门及其所属单位应当对下列行政事业性国有资产予以报废、报损：</w:t>
      </w:r>
    </w:p>
    <w:p w14:paraId="4891D41B">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598" w:firstLineChars="187"/>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一</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pacing w:val="-6"/>
          <w:sz w:val="32"/>
          <w:szCs w:val="32"/>
        </w:rPr>
        <w:t>因技术原因确需淘汰或者无法维修、无维修价值的资产</w:t>
      </w:r>
      <w:r>
        <w:rPr>
          <w:rFonts w:hint="eastAsia" w:ascii="仿宋" w:hAnsi="仿宋" w:eastAsia="仿宋" w:cs="仿宋"/>
          <w:b w:val="0"/>
          <w:bCs w:val="0"/>
          <w:color w:val="000000"/>
          <w:sz w:val="32"/>
          <w:szCs w:val="32"/>
        </w:rPr>
        <w:t>；</w:t>
      </w:r>
    </w:p>
    <w:p w14:paraId="5468E53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二</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涉及盘亏、坏账以及非正常损失的资产；</w:t>
      </w:r>
    </w:p>
    <w:p w14:paraId="4FBEA491">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三</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已超过使用年限且无法满足现有工作需要的资产；</w:t>
      </w:r>
    </w:p>
    <w:p w14:paraId="429E609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四</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因自然灾害等不可抗力造成毁损、灭失的资产。</w:t>
      </w:r>
    </w:p>
    <w:p w14:paraId="1F23533F">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第四十</w:t>
      </w: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各部门及其所属</w:t>
      </w:r>
      <w:r>
        <w:rPr>
          <w:rFonts w:hint="eastAsia" w:ascii="仿宋" w:hAnsi="仿宋" w:eastAsia="仿宋" w:cs="仿宋"/>
          <w:b w:val="0"/>
          <w:bCs w:val="0"/>
          <w:color w:val="000000"/>
          <w:spacing w:val="-6"/>
          <w:sz w:val="32"/>
          <w:szCs w:val="32"/>
        </w:rPr>
        <w:t>单位发生分立、合并、改制、撤</w:t>
      </w:r>
      <w:r>
        <w:rPr>
          <w:rFonts w:hint="eastAsia" w:ascii="仿宋" w:hAnsi="仿宋" w:eastAsia="仿宋" w:cs="仿宋"/>
          <w:b w:val="0"/>
          <w:bCs w:val="0"/>
          <w:color w:val="000000"/>
          <w:sz w:val="32"/>
          <w:szCs w:val="32"/>
        </w:rPr>
        <w:t>销、隶属关系改变或者部分职能、业务调整等情形，应当根据国家有关规定办理相关行政事业性国有资产划转、交接手续。</w:t>
      </w:r>
    </w:p>
    <w:p w14:paraId="278EBF51">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第四十</w:t>
      </w:r>
      <w:r>
        <w:rPr>
          <w:rFonts w:hint="eastAsia" w:ascii="黑体" w:hAnsi="黑体" w:eastAsia="黑体" w:cs="黑体"/>
          <w:b w:val="0"/>
          <w:bCs w:val="0"/>
          <w:color w:val="000000"/>
          <w:sz w:val="32"/>
          <w:szCs w:val="32"/>
          <w:lang w:eastAsia="zh-CN"/>
        </w:rPr>
        <w:t>四</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自治区设立的研究开发机构、高等院校对其持有科技成果的使用和处置，依照《中华人民共和国促进科技成果转化</w:t>
      </w:r>
      <w:r>
        <w:rPr>
          <w:rFonts w:hint="eastAsia" w:ascii="仿宋" w:hAnsi="仿宋" w:eastAsia="仿宋" w:cs="仿宋"/>
          <w:b w:val="0"/>
          <w:bCs w:val="0"/>
          <w:color w:val="000000"/>
          <w:spacing w:val="-6"/>
          <w:sz w:val="32"/>
          <w:szCs w:val="32"/>
        </w:rPr>
        <w:t>法》《中华人民共和国专利法》和国家、自治区有关规定执行。</w:t>
      </w:r>
    </w:p>
    <w:p w14:paraId="5D7068AE">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第四十</w:t>
      </w:r>
      <w:r>
        <w:rPr>
          <w:rFonts w:hint="eastAsia" w:ascii="黑体" w:hAnsi="黑体" w:eastAsia="黑体" w:cs="黑体"/>
          <w:b w:val="0"/>
          <w:bCs w:val="0"/>
          <w:color w:val="000000"/>
          <w:sz w:val="32"/>
          <w:szCs w:val="32"/>
          <w:lang w:eastAsia="zh-CN"/>
        </w:rPr>
        <w:t>五</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各部门及其所属单位处置国有资产在规定限额以上的，经</w:t>
      </w:r>
      <w:r>
        <w:rPr>
          <w:rFonts w:hint="eastAsia" w:ascii="仿宋" w:hAnsi="仿宋" w:eastAsia="仿宋" w:cs="仿宋"/>
          <w:b w:val="0"/>
          <w:bCs w:val="0"/>
          <w:color w:val="000000"/>
          <w:sz w:val="32"/>
          <w:szCs w:val="32"/>
          <w:lang w:eastAsia="zh-CN"/>
        </w:rPr>
        <w:t>主管部门</w:t>
      </w:r>
      <w:r>
        <w:rPr>
          <w:rFonts w:hint="eastAsia" w:ascii="仿宋" w:hAnsi="仿宋" w:eastAsia="仿宋" w:cs="仿宋"/>
          <w:b w:val="0"/>
          <w:bCs w:val="0"/>
          <w:color w:val="000000"/>
          <w:sz w:val="32"/>
          <w:szCs w:val="32"/>
        </w:rPr>
        <w:t>审核后，报</w:t>
      </w:r>
      <w:r>
        <w:rPr>
          <w:rFonts w:hint="eastAsia" w:ascii="仿宋" w:hAnsi="仿宋" w:eastAsia="仿宋" w:cs="仿宋"/>
          <w:b w:val="0"/>
          <w:bCs w:val="0"/>
          <w:color w:val="000000"/>
          <w:sz w:val="32"/>
          <w:szCs w:val="32"/>
          <w:lang w:val="en-US" w:eastAsia="zh-CN"/>
        </w:rPr>
        <w:t>同级</w:t>
      </w:r>
      <w:r>
        <w:rPr>
          <w:rFonts w:hint="eastAsia" w:ascii="仿宋" w:hAnsi="仿宋" w:eastAsia="仿宋" w:cs="仿宋"/>
          <w:b w:val="0"/>
          <w:bCs w:val="0"/>
          <w:color w:val="000000"/>
          <w:sz w:val="32"/>
          <w:szCs w:val="32"/>
        </w:rPr>
        <w:t>财政部门批准；处置国有资产在规定限额以下的，由</w:t>
      </w:r>
      <w:r>
        <w:rPr>
          <w:rFonts w:hint="eastAsia" w:ascii="仿宋" w:hAnsi="仿宋" w:eastAsia="仿宋" w:cs="仿宋"/>
          <w:b w:val="0"/>
          <w:bCs w:val="0"/>
          <w:color w:val="000000"/>
          <w:sz w:val="32"/>
          <w:szCs w:val="32"/>
          <w:lang w:eastAsia="zh-CN"/>
        </w:rPr>
        <w:t>主管部门</w:t>
      </w:r>
      <w:r>
        <w:rPr>
          <w:rFonts w:hint="eastAsia" w:ascii="仿宋" w:hAnsi="仿宋" w:eastAsia="仿宋" w:cs="仿宋"/>
          <w:b w:val="0"/>
          <w:bCs w:val="0"/>
          <w:color w:val="000000"/>
          <w:sz w:val="32"/>
          <w:szCs w:val="32"/>
        </w:rPr>
        <w:t>审批并报</w:t>
      </w:r>
      <w:r>
        <w:rPr>
          <w:rFonts w:hint="eastAsia" w:ascii="仿宋" w:hAnsi="仿宋" w:eastAsia="仿宋" w:cs="仿宋"/>
          <w:b w:val="0"/>
          <w:bCs w:val="0"/>
          <w:color w:val="000000"/>
          <w:sz w:val="32"/>
          <w:szCs w:val="32"/>
          <w:lang w:eastAsia="zh-CN"/>
        </w:rPr>
        <w:t>同级</w:t>
      </w:r>
      <w:r>
        <w:rPr>
          <w:rFonts w:hint="eastAsia" w:ascii="仿宋" w:hAnsi="仿宋" w:eastAsia="仿宋" w:cs="仿宋"/>
          <w:b w:val="0"/>
          <w:bCs w:val="0"/>
          <w:color w:val="000000"/>
          <w:sz w:val="32"/>
          <w:szCs w:val="32"/>
        </w:rPr>
        <w:t>财政部门备案</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法律、法规另有规定的，从其规定。</w:t>
      </w:r>
    </w:p>
    <w:p w14:paraId="4067E214">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rPr>
      </w:pPr>
      <w:r>
        <w:rPr>
          <w:rFonts w:hint="eastAsia" w:ascii="黑体" w:hAnsi="黑体" w:eastAsia="黑体" w:cs="黑体"/>
          <w:b w:val="0"/>
          <w:bCs w:val="0"/>
          <w:color w:val="000000"/>
          <w:sz w:val="32"/>
          <w:szCs w:val="32"/>
        </w:rPr>
        <w:t>第四十</w:t>
      </w:r>
      <w:r>
        <w:rPr>
          <w:rFonts w:hint="eastAsia" w:ascii="黑体" w:hAnsi="黑体" w:eastAsia="黑体" w:cs="黑体"/>
          <w:b w:val="0"/>
          <w:bCs w:val="0"/>
          <w:color w:val="000000"/>
          <w:sz w:val="32"/>
          <w:szCs w:val="32"/>
          <w:lang w:eastAsia="zh-CN"/>
        </w:rPr>
        <w:t>六</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各部门及其所属单位涉及的重大国有资产处置事项，确需本级人民政府协调解决的，由</w:t>
      </w:r>
      <w:r>
        <w:rPr>
          <w:rFonts w:hint="eastAsia" w:ascii="仿宋" w:hAnsi="仿宋" w:eastAsia="仿宋" w:cs="仿宋"/>
          <w:b w:val="0"/>
          <w:bCs w:val="0"/>
          <w:color w:val="000000"/>
          <w:sz w:val="32"/>
          <w:szCs w:val="32"/>
          <w:lang w:eastAsia="zh-CN"/>
        </w:rPr>
        <w:t>同</w:t>
      </w:r>
      <w:r>
        <w:rPr>
          <w:rFonts w:hint="eastAsia" w:ascii="仿宋" w:hAnsi="仿宋" w:eastAsia="仿宋" w:cs="仿宋"/>
          <w:b w:val="0"/>
          <w:bCs w:val="0"/>
          <w:color w:val="000000"/>
          <w:sz w:val="32"/>
          <w:szCs w:val="32"/>
        </w:rPr>
        <w:t>级财政部门审核后报本级人民政府审批。</w:t>
      </w:r>
    </w:p>
    <w:p w14:paraId="3C1E5759">
      <w:pPr>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firstLine="0" w:firstLineChars="0"/>
        <w:jc w:val="center"/>
        <w:textAlignment w:val="auto"/>
        <w:rPr>
          <w:rFonts w:hint="eastAsia" w:ascii="仿宋" w:hAnsi="仿宋" w:eastAsia="仿宋" w:cs="仿宋"/>
          <w:b w:val="0"/>
          <w:bCs w:val="0"/>
          <w:color w:val="000000"/>
          <w:sz w:val="32"/>
        </w:rPr>
      </w:pPr>
      <w:r>
        <w:rPr>
          <w:rFonts w:hint="eastAsia" w:ascii="黑体" w:hAnsi="黑体" w:eastAsia="黑体" w:cs="黑体"/>
          <w:b w:val="0"/>
          <w:bCs w:val="0"/>
          <w:color w:val="000000"/>
          <w:sz w:val="32"/>
          <w:szCs w:val="32"/>
        </w:rPr>
        <w:t>第五章  资产评估与资产清查</w:t>
      </w:r>
    </w:p>
    <w:p w14:paraId="5F010E79">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第四十</w:t>
      </w:r>
      <w:r>
        <w:rPr>
          <w:rFonts w:hint="eastAsia" w:ascii="黑体" w:hAnsi="黑体" w:eastAsia="黑体" w:cs="黑体"/>
          <w:b w:val="0"/>
          <w:bCs w:val="0"/>
          <w:color w:val="000000"/>
          <w:sz w:val="32"/>
          <w:szCs w:val="32"/>
          <w:lang w:eastAsia="zh-CN"/>
        </w:rPr>
        <w:t>七</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各部门及其所属单位有下列情形之一的，应当对行政事业性国有资产进行评估：</w:t>
      </w:r>
    </w:p>
    <w:p w14:paraId="176AE2B3">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一</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转让、拍卖、置换、</w:t>
      </w:r>
      <w:r>
        <w:rPr>
          <w:rFonts w:hint="eastAsia" w:ascii="仿宋" w:hAnsi="仿宋" w:eastAsia="仿宋" w:cs="仿宋"/>
          <w:b w:val="0"/>
          <w:bCs w:val="0"/>
          <w:color w:val="000000"/>
          <w:sz w:val="32"/>
          <w:szCs w:val="32"/>
          <w:lang w:eastAsia="zh-CN"/>
        </w:rPr>
        <w:t>对外投资</w:t>
      </w:r>
      <w:r>
        <w:rPr>
          <w:rFonts w:hint="eastAsia" w:ascii="仿宋" w:hAnsi="仿宋" w:eastAsia="仿宋" w:cs="仿宋"/>
          <w:b w:val="0"/>
          <w:bCs w:val="0"/>
          <w:color w:val="000000"/>
          <w:sz w:val="32"/>
          <w:szCs w:val="32"/>
          <w:lang w:val="en-US" w:eastAsia="zh-CN"/>
        </w:rPr>
        <w:t>等</w:t>
      </w:r>
      <w:r>
        <w:rPr>
          <w:rFonts w:hint="eastAsia" w:ascii="仿宋" w:hAnsi="仿宋" w:eastAsia="仿宋" w:cs="仿宋"/>
          <w:b w:val="0"/>
          <w:bCs w:val="0"/>
          <w:color w:val="000000"/>
          <w:sz w:val="32"/>
          <w:szCs w:val="32"/>
        </w:rPr>
        <w:t>国有资产的</w:t>
      </w:r>
      <w:r>
        <w:rPr>
          <w:rFonts w:hint="eastAsia" w:ascii="仿宋" w:hAnsi="仿宋" w:eastAsia="仿宋" w:cs="仿宋"/>
          <w:b w:val="0"/>
          <w:bCs w:val="0"/>
          <w:color w:val="000000"/>
          <w:sz w:val="32"/>
          <w:szCs w:val="32"/>
          <w:lang w:eastAsia="zh-CN"/>
        </w:rPr>
        <w:t>。国家另有规定的，从其规定</w:t>
      </w:r>
      <w:r>
        <w:rPr>
          <w:rFonts w:hint="eastAsia" w:ascii="仿宋" w:hAnsi="仿宋" w:eastAsia="仿宋" w:cs="仿宋"/>
          <w:b w:val="0"/>
          <w:bCs w:val="0"/>
          <w:color w:val="000000"/>
          <w:sz w:val="32"/>
          <w:szCs w:val="32"/>
        </w:rPr>
        <w:t>；</w:t>
      </w:r>
    </w:p>
    <w:p w14:paraId="064A46EE">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二</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事业</w:t>
      </w:r>
      <w:r>
        <w:rPr>
          <w:rFonts w:hint="eastAsia" w:ascii="仿宋" w:hAnsi="仿宋" w:eastAsia="仿宋" w:cs="仿宋"/>
          <w:b w:val="0"/>
          <w:bCs w:val="0"/>
          <w:color w:val="000000"/>
          <w:spacing w:val="-6"/>
          <w:sz w:val="32"/>
          <w:szCs w:val="32"/>
        </w:rPr>
        <w:t>单位涉及整体或</w:t>
      </w:r>
      <w:r>
        <w:rPr>
          <w:rFonts w:hint="eastAsia" w:ascii="仿宋" w:hAnsi="仿宋" w:eastAsia="仿宋" w:cs="仿宋"/>
          <w:b w:val="0"/>
          <w:bCs w:val="0"/>
          <w:color w:val="000000"/>
          <w:sz w:val="32"/>
          <w:szCs w:val="32"/>
        </w:rPr>
        <w:t>者部</w:t>
      </w:r>
      <w:r>
        <w:rPr>
          <w:rFonts w:hint="eastAsia" w:ascii="仿宋" w:hAnsi="仿宋" w:eastAsia="仿宋" w:cs="仿宋"/>
          <w:b w:val="0"/>
          <w:bCs w:val="0"/>
          <w:color w:val="000000"/>
          <w:spacing w:val="-6"/>
          <w:sz w:val="32"/>
          <w:szCs w:val="32"/>
        </w:rPr>
        <w:t>分改制为企业的，</w:t>
      </w:r>
      <w:r>
        <w:rPr>
          <w:rFonts w:hint="eastAsia" w:ascii="仿宋" w:hAnsi="仿宋" w:eastAsia="仿宋" w:cs="仿宋"/>
          <w:b w:val="0"/>
          <w:bCs w:val="0"/>
          <w:color w:val="000000"/>
          <w:sz w:val="32"/>
          <w:szCs w:val="32"/>
        </w:rPr>
        <w:t>或者以</w:t>
      </w:r>
      <w:r>
        <w:rPr>
          <w:rFonts w:hint="eastAsia" w:ascii="仿宋" w:hAnsi="仿宋" w:eastAsia="仿宋" w:cs="仿宋"/>
          <w:b w:val="0"/>
          <w:bCs w:val="0"/>
          <w:color w:val="000000"/>
          <w:sz w:val="32"/>
          <w:szCs w:val="32"/>
        </w:rPr>
        <w:fldChar w:fldCharType="begin"/>
      </w:r>
      <w:r>
        <w:rPr>
          <w:rFonts w:hint="eastAsia" w:ascii="仿宋" w:hAnsi="仿宋" w:eastAsia="仿宋" w:cs="仿宋"/>
          <w:b w:val="0"/>
          <w:bCs w:val="0"/>
          <w:color w:val="000000"/>
          <w:sz w:val="32"/>
          <w:szCs w:val="32"/>
        </w:rPr>
        <w:instrText xml:space="preserve"> HYPERLINK "https://baike.sogou.com/lemma/ShowInnerLink.htm?lemmaId=6458252&amp;ss_c=ssc.citiao.link" \t "_blank" </w:instrText>
      </w:r>
      <w:r>
        <w:rPr>
          <w:rFonts w:hint="eastAsia" w:ascii="仿宋" w:hAnsi="仿宋" w:eastAsia="仿宋" w:cs="仿宋"/>
          <w:b w:val="0"/>
          <w:bCs w:val="0"/>
          <w:color w:val="000000"/>
          <w:sz w:val="32"/>
          <w:szCs w:val="32"/>
        </w:rPr>
        <w:fldChar w:fldCharType="separate"/>
      </w:r>
      <w:r>
        <w:rPr>
          <w:rFonts w:hint="eastAsia" w:ascii="仿宋" w:hAnsi="仿宋" w:eastAsia="仿宋" w:cs="仿宋"/>
          <w:b w:val="0"/>
          <w:bCs w:val="0"/>
          <w:color w:val="000000"/>
          <w:sz w:val="32"/>
          <w:szCs w:val="32"/>
        </w:rPr>
        <w:t>非货币性资产</w:t>
      </w:r>
      <w:r>
        <w:rPr>
          <w:rFonts w:hint="eastAsia" w:ascii="仿宋" w:hAnsi="仿宋" w:eastAsia="仿宋" w:cs="仿宋"/>
          <w:b w:val="0"/>
          <w:bCs w:val="0"/>
          <w:color w:val="000000"/>
          <w:sz w:val="32"/>
          <w:szCs w:val="32"/>
        </w:rPr>
        <w:fldChar w:fldCharType="end"/>
      </w:r>
      <w:r>
        <w:rPr>
          <w:rFonts w:hint="eastAsia" w:ascii="仿宋" w:hAnsi="仿宋" w:eastAsia="仿宋" w:cs="仿宋"/>
          <w:b w:val="0"/>
          <w:bCs w:val="0"/>
          <w:color w:val="000000"/>
          <w:sz w:val="32"/>
          <w:szCs w:val="32"/>
        </w:rPr>
        <w:t>对外投资的；</w:t>
      </w:r>
    </w:p>
    <w:p w14:paraId="77BA0A63">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rPr>
      </w:pPr>
      <w:r>
        <w:rPr>
          <w:rFonts w:hint="eastAsia" w:ascii="仿宋" w:hAnsi="仿宋" w:eastAsia="仿宋" w:cs="仿宋"/>
          <w:b w:val="0"/>
          <w:bCs w:val="0"/>
          <w:i w:val="0"/>
          <w:snapToGrid/>
          <w:color w:val="000000"/>
          <w:sz w:val="32"/>
          <w:shd w:val="clear" w:color="auto" w:fill="FFFFFF"/>
          <w:lang w:eastAsia="zh-CN"/>
        </w:rPr>
        <w:t>（</w:t>
      </w:r>
      <w:r>
        <w:rPr>
          <w:rFonts w:hint="eastAsia" w:ascii="仿宋" w:hAnsi="仿宋" w:eastAsia="仿宋" w:cs="仿宋"/>
          <w:b w:val="0"/>
          <w:bCs w:val="0"/>
          <w:i w:val="0"/>
          <w:snapToGrid/>
          <w:color w:val="000000"/>
          <w:sz w:val="32"/>
          <w:shd w:val="clear" w:color="auto" w:fill="FFFFFF"/>
        </w:rPr>
        <w:t>三</w:t>
      </w:r>
      <w:r>
        <w:rPr>
          <w:rFonts w:hint="eastAsia" w:ascii="仿宋" w:hAnsi="仿宋" w:eastAsia="仿宋" w:cs="仿宋"/>
          <w:b w:val="0"/>
          <w:bCs w:val="0"/>
          <w:i w:val="0"/>
          <w:snapToGrid/>
          <w:color w:val="000000"/>
          <w:sz w:val="32"/>
          <w:shd w:val="clear" w:color="auto" w:fill="FFFFFF"/>
          <w:lang w:eastAsia="zh-CN"/>
        </w:rPr>
        <w:t>）事业单位</w:t>
      </w:r>
      <w:r>
        <w:rPr>
          <w:rFonts w:hint="eastAsia" w:ascii="仿宋" w:hAnsi="仿宋" w:eastAsia="仿宋" w:cs="仿宋"/>
          <w:b w:val="0"/>
          <w:bCs w:val="0"/>
          <w:i w:val="0"/>
          <w:snapToGrid/>
          <w:color w:val="000000"/>
          <w:sz w:val="32"/>
          <w:shd w:val="clear" w:color="auto" w:fill="FFFFFF"/>
        </w:rPr>
        <w:t>合并、分立、清算</w:t>
      </w:r>
      <w:r>
        <w:rPr>
          <w:rFonts w:hint="eastAsia" w:ascii="仿宋" w:hAnsi="仿宋" w:eastAsia="仿宋" w:cs="仿宋"/>
          <w:b w:val="0"/>
          <w:bCs w:val="0"/>
          <w:i w:val="0"/>
          <w:snapToGrid/>
          <w:color w:val="000000"/>
          <w:sz w:val="32"/>
          <w:shd w:val="clear" w:color="auto" w:fill="FFFFFF"/>
          <w:lang w:eastAsia="zh-CN"/>
        </w:rPr>
        <w:t>的</w:t>
      </w:r>
      <w:r>
        <w:rPr>
          <w:rFonts w:hint="eastAsia" w:ascii="仿宋" w:hAnsi="仿宋" w:eastAsia="仿宋" w:cs="仿宋"/>
          <w:b w:val="0"/>
          <w:bCs w:val="0"/>
          <w:i w:val="0"/>
          <w:snapToGrid/>
          <w:color w:val="000000"/>
          <w:sz w:val="32"/>
          <w:shd w:val="clear" w:color="auto" w:fill="FFFFFF"/>
        </w:rPr>
        <w:t>；</w:t>
      </w:r>
    </w:p>
    <w:p w14:paraId="59F842B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i w:val="0"/>
          <w:snapToGrid/>
          <w:color w:val="000000"/>
          <w:sz w:val="32"/>
          <w:shd w:val="clear" w:color="auto" w:fill="FFFFFF"/>
        </w:rPr>
      </w:pPr>
      <w:r>
        <w:rPr>
          <w:rFonts w:hint="eastAsia" w:ascii="仿宋" w:hAnsi="仿宋" w:eastAsia="仿宋" w:cs="仿宋"/>
          <w:b w:val="0"/>
          <w:bCs w:val="0"/>
          <w:i w:val="0"/>
          <w:snapToGrid/>
          <w:color w:val="000000"/>
          <w:sz w:val="32"/>
          <w:shd w:val="clear" w:color="auto" w:fill="FFFFFF"/>
          <w:lang w:eastAsia="zh-CN"/>
        </w:rPr>
        <w:t>（四）事业单位</w:t>
      </w:r>
      <w:r>
        <w:rPr>
          <w:rFonts w:hint="eastAsia" w:ascii="仿宋" w:hAnsi="仿宋" w:eastAsia="仿宋" w:cs="仿宋"/>
          <w:b w:val="0"/>
          <w:bCs w:val="0"/>
          <w:i w:val="0"/>
          <w:snapToGrid/>
          <w:color w:val="000000"/>
          <w:sz w:val="32"/>
          <w:shd w:val="clear" w:color="auto" w:fill="FFFFFF"/>
        </w:rPr>
        <w:t>整体或者部分资产租赁给非国有单位</w:t>
      </w:r>
      <w:r>
        <w:rPr>
          <w:rFonts w:hint="eastAsia" w:ascii="仿宋" w:hAnsi="仿宋" w:eastAsia="仿宋" w:cs="仿宋"/>
          <w:b w:val="0"/>
          <w:bCs w:val="0"/>
          <w:i w:val="0"/>
          <w:snapToGrid/>
          <w:color w:val="000000"/>
          <w:sz w:val="32"/>
          <w:shd w:val="clear" w:color="auto" w:fill="FFFFFF"/>
          <w:lang w:eastAsia="zh-CN"/>
        </w:rPr>
        <w:t>的</w:t>
      </w:r>
      <w:r>
        <w:rPr>
          <w:rFonts w:hint="eastAsia" w:ascii="仿宋" w:hAnsi="仿宋" w:eastAsia="仿宋" w:cs="仿宋"/>
          <w:b w:val="0"/>
          <w:bCs w:val="0"/>
          <w:i w:val="0"/>
          <w:snapToGrid/>
          <w:color w:val="000000"/>
          <w:sz w:val="32"/>
          <w:shd w:val="clear" w:color="auto" w:fill="FFFFFF"/>
        </w:rPr>
        <w:t>；</w:t>
      </w:r>
    </w:p>
    <w:p w14:paraId="5F5FFE96">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（五）</w:t>
      </w:r>
      <w:r>
        <w:rPr>
          <w:rFonts w:hint="eastAsia" w:ascii="仿宋" w:hAnsi="仿宋" w:eastAsia="仿宋" w:cs="仿宋"/>
          <w:b w:val="0"/>
          <w:bCs w:val="0"/>
          <w:color w:val="000000"/>
          <w:sz w:val="32"/>
          <w:szCs w:val="32"/>
        </w:rPr>
        <w:t>确定涉</w:t>
      </w:r>
      <w:r>
        <w:rPr>
          <w:rFonts w:hint="eastAsia" w:ascii="仿宋" w:hAnsi="仿宋" w:eastAsia="仿宋" w:cs="仿宋"/>
          <w:b w:val="0"/>
          <w:bCs w:val="0"/>
          <w:color w:val="000000"/>
          <w:sz w:val="32"/>
          <w:szCs w:val="32"/>
          <w:lang w:eastAsia="zh-CN"/>
        </w:rPr>
        <w:t>及诉讼</w:t>
      </w:r>
      <w:r>
        <w:rPr>
          <w:rFonts w:hint="eastAsia" w:ascii="仿宋" w:hAnsi="仿宋" w:eastAsia="仿宋" w:cs="仿宋"/>
          <w:b w:val="0"/>
          <w:bCs w:val="0"/>
          <w:color w:val="000000"/>
          <w:sz w:val="32"/>
          <w:szCs w:val="32"/>
        </w:rPr>
        <w:t>资产价值的；</w:t>
      </w:r>
    </w:p>
    <w:p w14:paraId="76B39CAD">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（六）</w:t>
      </w:r>
      <w:r>
        <w:rPr>
          <w:rFonts w:hint="eastAsia" w:ascii="仿宋" w:hAnsi="仿宋" w:eastAsia="仿宋" w:cs="仿宋"/>
          <w:b w:val="0"/>
          <w:bCs w:val="0"/>
          <w:color w:val="000000"/>
          <w:sz w:val="32"/>
          <w:szCs w:val="32"/>
        </w:rPr>
        <w:t>依照</w:t>
      </w:r>
      <w:r>
        <w:rPr>
          <w:rFonts w:hint="eastAsia" w:ascii="仿宋" w:hAnsi="仿宋" w:eastAsia="仿宋" w:cs="仿宋"/>
          <w:b w:val="0"/>
          <w:bCs w:val="0"/>
          <w:color w:val="000000"/>
          <w:sz w:val="32"/>
          <w:szCs w:val="32"/>
          <w:lang w:eastAsia="zh-CN"/>
        </w:rPr>
        <w:t>法律、法规和</w:t>
      </w:r>
      <w:r>
        <w:rPr>
          <w:rFonts w:hint="eastAsia" w:ascii="仿宋" w:hAnsi="仿宋" w:eastAsia="仿宋" w:cs="仿宋"/>
          <w:b w:val="0"/>
          <w:bCs w:val="0"/>
          <w:color w:val="000000"/>
          <w:sz w:val="32"/>
          <w:szCs w:val="32"/>
        </w:rPr>
        <w:t>国家有关规定需要进行资产评估的其他情形。</w:t>
      </w:r>
    </w:p>
    <w:p w14:paraId="2EB537F6">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资产评估应当委托具有资产评估资质的机构进行评估。</w:t>
      </w:r>
    </w:p>
    <w:p w14:paraId="78E54801">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eastAsia="zh-CN"/>
        </w:rPr>
        <w:t>四十八</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各部门及其所属单位按照独立、客观、公正的原则，对行政事业性国有资产依法进行评估。</w:t>
      </w:r>
    </w:p>
    <w:p w14:paraId="256BBA88">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eastAsia="zh-CN"/>
        </w:rPr>
        <w:t>四十九</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各部门及其所属单位对无法进行会计确认入账的行政事业性国有资产，可以根据需要组织专家参照资产评估方法进行评估，并作为反映资产状况的依据。</w:t>
      </w:r>
    </w:p>
    <w:p w14:paraId="474E38E5">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第五十条</w:t>
      </w:r>
      <w:r>
        <w:rPr>
          <w:rFonts w:hint="eastAsia" w:ascii="仿宋" w:hAnsi="仿宋" w:eastAsia="仿宋" w:cs="仿宋"/>
          <w:b w:val="0"/>
          <w:bCs w:val="0"/>
          <w:color w:val="000000"/>
          <w:sz w:val="32"/>
          <w:szCs w:val="32"/>
        </w:rPr>
        <w:t xml:space="preserve">  行政事业性国有资产评估项目实行核准制和备案制。</w:t>
      </w:r>
    </w:p>
    <w:p w14:paraId="797C2F64">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实行核准制和备案制的项目范围等按照国家、自治区有关规定执行。</w:t>
      </w:r>
    </w:p>
    <w:p w14:paraId="6C870A37">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第五十</w:t>
      </w:r>
      <w:r>
        <w:rPr>
          <w:rFonts w:hint="eastAsia" w:ascii="黑体" w:hAnsi="黑体" w:eastAsia="黑体" w:cs="黑体"/>
          <w:b w:val="0"/>
          <w:bCs w:val="0"/>
          <w:color w:val="000000"/>
          <w:sz w:val="32"/>
          <w:szCs w:val="32"/>
          <w:lang w:eastAsia="zh-CN"/>
        </w:rPr>
        <w:t>一</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有下列情形之一的，各部门及其所属单位应当对行政事业性国有资产进行清查：</w:t>
      </w:r>
    </w:p>
    <w:p w14:paraId="4E7D80A1">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 w:hAnsi="仿宋" w:eastAsia="仿宋" w:cs="仿宋"/>
          <w:b w:val="0"/>
          <w:bCs w:val="0"/>
          <w:color w:val="000000"/>
          <w:spacing w:val="-6"/>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一</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pacing w:val="-6"/>
          <w:sz w:val="32"/>
          <w:szCs w:val="32"/>
        </w:rPr>
        <w:t>根据上级或者本级人民政府部署要求组织资产清查的；</w:t>
      </w:r>
    </w:p>
    <w:p w14:paraId="4C56898E">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二</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发生</w:t>
      </w:r>
      <w:r>
        <w:rPr>
          <w:rFonts w:hint="eastAsia" w:ascii="仿宋" w:hAnsi="仿宋" w:eastAsia="仿宋" w:cs="仿宋"/>
          <w:b w:val="0"/>
          <w:bCs w:val="0"/>
          <w:color w:val="000000"/>
          <w:sz w:val="32"/>
          <w:szCs w:val="32"/>
        </w:rPr>
        <w:t>重大</w:t>
      </w:r>
      <w:r>
        <w:rPr>
          <w:rFonts w:hint="eastAsia" w:ascii="仿宋" w:hAnsi="仿宋" w:eastAsia="仿宋" w:cs="仿宋"/>
          <w:b w:val="0"/>
          <w:bCs w:val="0"/>
          <w:color w:val="000000"/>
          <w:sz w:val="32"/>
          <w:szCs w:val="32"/>
          <w:lang w:val="en-US" w:eastAsia="zh-CN"/>
        </w:rPr>
        <w:t>资产调拨、划转以及</w:t>
      </w:r>
      <w:r>
        <w:rPr>
          <w:rFonts w:hint="eastAsia" w:ascii="仿宋" w:hAnsi="仿宋" w:eastAsia="仿宋" w:cs="仿宋"/>
          <w:b w:val="0"/>
          <w:bCs w:val="0"/>
          <w:color w:val="000000"/>
          <w:spacing w:val="-6"/>
          <w:sz w:val="32"/>
          <w:szCs w:val="32"/>
          <w:lang w:val="en-US" w:eastAsia="zh-CN"/>
        </w:rPr>
        <w:t>单位分立、合并、改制、</w:t>
      </w:r>
      <w:r>
        <w:rPr>
          <w:rFonts w:hint="eastAsia" w:ascii="仿宋" w:hAnsi="仿宋" w:eastAsia="仿宋" w:cs="仿宋"/>
          <w:b w:val="0"/>
          <w:bCs w:val="0"/>
          <w:color w:val="000000"/>
          <w:sz w:val="32"/>
          <w:szCs w:val="32"/>
          <w:lang w:val="en-US" w:eastAsia="zh-CN"/>
        </w:rPr>
        <w:t>撤销、隶属关系改变等情形；</w:t>
      </w:r>
    </w:p>
    <w:p w14:paraId="7B4821C5">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（三）因自然灾害等不可抗力造成资产毁损、灭失的；</w:t>
      </w:r>
    </w:p>
    <w:p w14:paraId="79EEF759">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四</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会计信息严重失真的；</w:t>
      </w:r>
    </w:p>
    <w:p w14:paraId="1D2037D3">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五</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国家统一的</w:t>
      </w:r>
      <w:r>
        <w:rPr>
          <w:rFonts w:hint="eastAsia" w:ascii="仿宋" w:hAnsi="仿宋" w:eastAsia="仿宋" w:cs="仿宋"/>
          <w:b w:val="0"/>
          <w:bCs w:val="0"/>
          <w:color w:val="000000"/>
          <w:sz w:val="32"/>
          <w:szCs w:val="32"/>
        </w:rPr>
        <w:t>会计</w:t>
      </w:r>
      <w:r>
        <w:rPr>
          <w:rFonts w:hint="eastAsia" w:ascii="仿宋" w:hAnsi="仿宋" w:eastAsia="仿宋" w:cs="仿宋"/>
          <w:b w:val="0"/>
          <w:bCs w:val="0"/>
          <w:color w:val="000000"/>
          <w:sz w:val="32"/>
          <w:szCs w:val="32"/>
          <w:lang w:val="en-US" w:eastAsia="zh-CN"/>
        </w:rPr>
        <w:t>制度发生重大变更，</w:t>
      </w:r>
      <w:r>
        <w:rPr>
          <w:rFonts w:hint="eastAsia" w:ascii="仿宋" w:hAnsi="仿宋" w:eastAsia="仿宋" w:cs="仿宋"/>
          <w:b w:val="0"/>
          <w:bCs w:val="0"/>
          <w:color w:val="000000"/>
          <w:sz w:val="32"/>
          <w:szCs w:val="32"/>
        </w:rPr>
        <w:t>涉及资产核算方法发生重要变化的；</w:t>
      </w:r>
    </w:p>
    <w:p w14:paraId="5273469F">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right="0" w:righ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六</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其他应当进行资产清查的情形。</w:t>
      </w:r>
    </w:p>
    <w:p w14:paraId="4D9F3DC4">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第五十</w:t>
      </w: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各部门及其所属单位在资产清查中发现账实不符、账账不符</w:t>
      </w:r>
      <w:r>
        <w:rPr>
          <w:rFonts w:hint="eastAsia" w:ascii="仿宋" w:hAnsi="仿宋" w:eastAsia="仿宋" w:cs="仿宋"/>
          <w:b w:val="0"/>
          <w:bCs w:val="0"/>
          <w:color w:val="000000"/>
          <w:sz w:val="32"/>
          <w:szCs w:val="32"/>
          <w:lang w:eastAsia="zh-CN"/>
        </w:rPr>
        <w:t>的</w:t>
      </w:r>
      <w:r>
        <w:rPr>
          <w:rFonts w:hint="eastAsia" w:ascii="仿宋" w:hAnsi="仿宋" w:eastAsia="仿宋" w:cs="仿宋"/>
          <w:b w:val="0"/>
          <w:bCs w:val="0"/>
          <w:color w:val="000000"/>
          <w:sz w:val="32"/>
          <w:szCs w:val="32"/>
        </w:rPr>
        <w:t>，应当查明原因予以说明，并随同清查结果一并履行审批程序。各部门及其所属单位应当根据审批结果及时调整资产台账信息，同时进行会计处理。</w:t>
      </w:r>
    </w:p>
    <w:p w14:paraId="04F27D8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由于资产使用人、管理人的原因，造成资产毁损、灭失的，应当依法追究相关责任。</w:t>
      </w:r>
    </w:p>
    <w:p w14:paraId="2C0C61DC">
      <w:pPr>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right="0" w:rightChars="0" w:firstLine="0" w:firstLineChars="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 xml:space="preserve">第六章 </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资产报告与监督管理</w:t>
      </w:r>
    </w:p>
    <w:p w14:paraId="12E124BE">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第五十</w:t>
      </w: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旗县级以上人民政府应当向本级人民代表大会常务委员会报告行政事业性国有资产管理情况。 </w:t>
      </w:r>
    </w:p>
    <w:p w14:paraId="2968E587">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第五十</w:t>
      </w:r>
      <w:r>
        <w:rPr>
          <w:rFonts w:hint="eastAsia" w:ascii="黑体" w:hAnsi="黑体" w:eastAsia="黑体" w:cs="黑体"/>
          <w:b w:val="0"/>
          <w:bCs w:val="0"/>
          <w:color w:val="000000"/>
          <w:sz w:val="32"/>
          <w:szCs w:val="32"/>
          <w:lang w:eastAsia="zh-CN"/>
        </w:rPr>
        <w:t>四</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行政事业性国有资产管理情况报告，主要包括下列内容：</w:t>
      </w:r>
    </w:p>
    <w:p w14:paraId="3F389AD9">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一</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资产负债总量情况；</w:t>
      </w:r>
    </w:p>
    <w:p w14:paraId="6A1A779E">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二</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相关管理制度建立和实施情况；</w:t>
      </w:r>
    </w:p>
    <w:p w14:paraId="48160715">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三</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资产配置、使用、处置和效益情况；</w:t>
      </w:r>
    </w:p>
    <w:p w14:paraId="3CB471BA">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四</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资产盘活情况；</w:t>
      </w:r>
    </w:p>
    <w:p w14:paraId="4EAB3379">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598" w:firstLineChars="187"/>
        <w:jc w:val="both"/>
        <w:textAlignment w:val="auto"/>
        <w:rPr>
          <w:rFonts w:hint="eastAsia" w:ascii="仿宋" w:hAnsi="仿宋" w:eastAsia="仿宋" w:cs="仿宋"/>
          <w:b w:val="0"/>
          <w:bCs w:val="0"/>
          <w:color w:val="000000"/>
          <w:spacing w:val="-6"/>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五</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pacing w:val="-6"/>
          <w:sz w:val="32"/>
          <w:szCs w:val="32"/>
        </w:rPr>
        <w:t>国有资产保障履行职能、事业发展和提供公共服务情况；</w:t>
      </w:r>
    </w:p>
    <w:p w14:paraId="2EB83860">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六</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推进资产管理体制机制改革情况；</w:t>
      </w:r>
    </w:p>
    <w:p w14:paraId="610ECFC9">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七</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其他需要报告的情况。</w:t>
      </w:r>
    </w:p>
    <w:p w14:paraId="2EB1408A">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16"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pacing w:val="-6"/>
          <w:sz w:val="32"/>
          <w:szCs w:val="32"/>
        </w:rPr>
        <w:t>行政事业性国有资产管理情况按照国家有关规定向社会公开</w:t>
      </w:r>
      <w:r>
        <w:rPr>
          <w:rFonts w:hint="eastAsia" w:ascii="仿宋" w:hAnsi="仿宋" w:eastAsia="仿宋" w:cs="仿宋"/>
          <w:b w:val="0"/>
          <w:bCs w:val="0"/>
          <w:color w:val="000000"/>
          <w:sz w:val="32"/>
          <w:szCs w:val="32"/>
        </w:rPr>
        <w:t>。</w:t>
      </w:r>
    </w:p>
    <w:p w14:paraId="305C8EAB">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第五十</w:t>
      </w:r>
      <w:r>
        <w:rPr>
          <w:rFonts w:hint="eastAsia" w:ascii="黑体" w:hAnsi="黑体" w:eastAsia="黑体" w:cs="黑体"/>
          <w:b w:val="0"/>
          <w:bCs w:val="0"/>
          <w:color w:val="000000"/>
          <w:sz w:val="32"/>
          <w:szCs w:val="32"/>
          <w:lang w:eastAsia="zh-CN"/>
        </w:rPr>
        <w:t>五</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各部门所属单位应当每年编制本单位行政事业性国有资产管理情况报告，</w:t>
      </w:r>
      <w:r>
        <w:rPr>
          <w:rFonts w:hint="eastAsia" w:ascii="仿宋" w:hAnsi="仿宋" w:eastAsia="仿宋" w:cs="仿宋"/>
          <w:b w:val="0"/>
          <w:bCs w:val="0"/>
          <w:color w:val="000000"/>
          <w:sz w:val="32"/>
          <w:szCs w:val="32"/>
          <w:lang w:eastAsia="zh-CN"/>
        </w:rPr>
        <w:t>逐级报送相关部门</w:t>
      </w:r>
      <w:r>
        <w:rPr>
          <w:rFonts w:hint="eastAsia" w:ascii="仿宋" w:hAnsi="仿宋" w:eastAsia="仿宋" w:cs="仿宋"/>
          <w:b w:val="0"/>
          <w:bCs w:val="0"/>
          <w:color w:val="000000"/>
          <w:sz w:val="32"/>
          <w:szCs w:val="32"/>
        </w:rPr>
        <w:t>。</w:t>
      </w:r>
    </w:p>
    <w:p w14:paraId="6B3689E8">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各部门应当汇总编制本部门行政事业性国有资产管理情况报告，报送本级人民政府财政部门。</w:t>
      </w:r>
    </w:p>
    <w:p w14:paraId="0ECB3A40">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第五十</w:t>
      </w:r>
      <w:r>
        <w:rPr>
          <w:rFonts w:hint="eastAsia" w:ascii="黑体" w:hAnsi="黑体" w:eastAsia="黑体" w:cs="黑体"/>
          <w:b w:val="0"/>
          <w:bCs w:val="0"/>
          <w:color w:val="000000"/>
          <w:sz w:val="32"/>
          <w:szCs w:val="32"/>
          <w:lang w:eastAsia="zh-CN"/>
        </w:rPr>
        <w:t>六</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旗县级以上人民政府财政部门应当每年汇总本级和下级行政事业性国有资产管理情况，报送本级人民政府和上一级人民政府财政部门。</w:t>
      </w:r>
    </w:p>
    <w:p w14:paraId="0766996C">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第五十</w:t>
      </w:r>
      <w:r>
        <w:rPr>
          <w:rFonts w:hint="eastAsia" w:ascii="黑体" w:hAnsi="黑体" w:eastAsia="黑体" w:cs="黑体"/>
          <w:b w:val="0"/>
          <w:bCs w:val="0"/>
          <w:color w:val="000000"/>
          <w:sz w:val="32"/>
          <w:szCs w:val="32"/>
          <w:lang w:eastAsia="zh-CN"/>
        </w:rPr>
        <w:t>七</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旗县级以上人民政府应当接受本级人民代表大会及其常务委员会对行政事业性国有资产管理情况的监督</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组织</w:t>
      </w:r>
      <w:r>
        <w:rPr>
          <w:rFonts w:hint="eastAsia" w:ascii="仿宋" w:hAnsi="仿宋" w:eastAsia="仿宋" w:cs="仿宋"/>
          <w:b w:val="0"/>
          <w:bCs w:val="0"/>
          <w:color w:val="000000"/>
          <w:spacing w:val="-6"/>
          <w:sz w:val="32"/>
          <w:szCs w:val="32"/>
        </w:rPr>
        <w:t>落实本级人民代表大会及其常务委员会审议提出的整改要求，并</w:t>
      </w:r>
      <w:r>
        <w:rPr>
          <w:rFonts w:hint="eastAsia" w:ascii="仿宋" w:hAnsi="仿宋" w:eastAsia="仿宋" w:cs="仿宋"/>
          <w:b w:val="0"/>
          <w:bCs w:val="0"/>
          <w:color w:val="000000"/>
          <w:sz w:val="32"/>
          <w:szCs w:val="32"/>
        </w:rPr>
        <w:t>向本级人民代表大会及其常务委员会报告整改情况。</w:t>
      </w:r>
    </w:p>
    <w:p w14:paraId="4F76AF6C">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苏木乡镇人民政府应当接受本级人民代表大会对行政事业性国有资产管理情况的监督。</w:t>
      </w:r>
    </w:p>
    <w:p w14:paraId="6AC5DF6A">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eastAsia="zh-CN"/>
        </w:rPr>
        <w:t>五十八</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旗县级以上人民政府应当对下级政府的行政事业性国有资产管理情况进行监督检查。</w:t>
      </w:r>
    </w:p>
    <w:p w14:paraId="23471776">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旗县级以上人民政府财政部门应当对</w:t>
      </w:r>
      <w:r>
        <w:rPr>
          <w:rFonts w:hint="eastAsia" w:ascii="仿宋" w:hAnsi="仿宋" w:eastAsia="仿宋" w:cs="仿宋"/>
          <w:b w:val="0"/>
          <w:bCs w:val="0"/>
          <w:color w:val="000000"/>
          <w:sz w:val="32"/>
          <w:szCs w:val="32"/>
          <w:lang w:eastAsia="zh-CN"/>
        </w:rPr>
        <w:t>同级</w:t>
      </w:r>
      <w:r>
        <w:rPr>
          <w:rFonts w:hint="eastAsia" w:ascii="仿宋" w:hAnsi="仿宋" w:eastAsia="仿宋" w:cs="仿宋"/>
          <w:b w:val="0"/>
          <w:bCs w:val="0"/>
          <w:color w:val="000000"/>
          <w:sz w:val="32"/>
          <w:szCs w:val="32"/>
        </w:rPr>
        <w:t>各部门及其所属单位行政事业性国有资产管理情况进行监督检查，监督检查结果依法向社会公开。</w:t>
      </w:r>
    </w:p>
    <w:p w14:paraId="59D63B48">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旗县级以上人民政府审计部门依法对行政事业性国有资产管理情况进行审计监督。</w:t>
      </w:r>
    </w:p>
    <w:p w14:paraId="136353F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eastAsia="zh-CN"/>
        </w:rPr>
        <w:t>五十九</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公民、法人或者其他组织发现违反《行政事业性国有资产管理条例》及本办法的行为，有权向有关部门进行检举、控告。接受检举、控告的有关部门应当依法进行处理，并为检举人、控告人保密。</w:t>
      </w:r>
    </w:p>
    <w:p w14:paraId="080C611A">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任何单位或者个人不得压制和打击报复检举人、控告人。</w:t>
      </w:r>
    </w:p>
    <w:p w14:paraId="2C673687">
      <w:pPr>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lang w:val="en-US" w:eastAsia="zh-CN"/>
        </w:rPr>
        <w:t xml:space="preserve">第七章  </w:t>
      </w:r>
      <w:r>
        <w:rPr>
          <w:rFonts w:hint="eastAsia" w:ascii="黑体" w:hAnsi="黑体" w:eastAsia="黑体" w:cs="黑体"/>
          <w:b w:val="0"/>
          <w:bCs w:val="0"/>
          <w:color w:val="000000"/>
          <w:sz w:val="32"/>
          <w:szCs w:val="32"/>
        </w:rPr>
        <w:t>法律责任</w:t>
      </w:r>
    </w:p>
    <w:p w14:paraId="721579EF">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第六十条</w:t>
      </w:r>
      <w:r>
        <w:rPr>
          <w:rFonts w:hint="eastAsia" w:ascii="仿宋" w:hAnsi="仿宋" w:eastAsia="仿宋" w:cs="仿宋"/>
          <w:b w:val="0"/>
          <w:bCs w:val="0"/>
          <w:color w:val="000000"/>
          <w:sz w:val="32"/>
          <w:szCs w:val="32"/>
        </w:rPr>
        <w:t xml:space="preserve">  违反本办法规定的行为，《行政事业性国有资产管理</w:t>
      </w:r>
      <w:r>
        <w:rPr>
          <w:rFonts w:hint="eastAsia" w:ascii="仿宋" w:hAnsi="仿宋" w:eastAsia="仿宋" w:cs="仿宋"/>
          <w:b w:val="0"/>
          <w:bCs w:val="0"/>
          <w:color w:val="000000"/>
          <w:spacing w:val="-6"/>
          <w:sz w:val="32"/>
          <w:szCs w:val="32"/>
        </w:rPr>
        <w:t>条例》等有关法律、法规</w:t>
      </w:r>
      <w:r>
        <w:rPr>
          <w:rFonts w:hint="eastAsia" w:ascii="仿宋" w:hAnsi="仿宋" w:eastAsia="仿宋" w:cs="仿宋"/>
          <w:b w:val="0"/>
          <w:bCs w:val="0"/>
          <w:color w:val="000000"/>
          <w:spacing w:val="-6"/>
          <w:sz w:val="32"/>
          <w:szCs w:val="32"/>
          <w:lang w:val="en-US" w:eastAsia="zh-CN"/>
        </w:rPr>
        <w:t>已经作出具体</w:t>
      </w:r>
      <w:r>
        <w:rPr>
          <w:rFonts w:hint="eastAsia" w:ascii="仿宋" w:hAnsi="仿宋" w:eastAsia="仿宋" w:cs="仿宋"/>
          <w:b w:val="0"/>
          <w:bCs w:val="0"/>
          <w:color w:val="000000"/>
          <w:spacing w:val="-6"/>
          <w:sz w:val="32"/>
          <w:szCs w:val="32"/>
        </w:rPr>
        <w:t>处罚规定的，从其规定</w:t>
      </w:r>
      <w:r>
        <w:rPr>
          <w:rFonts w:hint="eastAsia" w:ascii="仿宋" w:hAnsi="仿宋" w:eastAsia="仿宋" w:cs="仿宋"/>
          <w:b w:val="0"/>
          <w:bCs w:val="0"/>
          <w:color w:val="000000"/>
          <w:sz w:val="32"/>
          <w:szCs w:val="32"/>
        </w:rPr>
        <w:t>。</w:t>
      </w:r>
    </w:p>
    <w:p w14:paraId="10B6F80E">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第六十</w:t>
      </w:r>
      <w:r>
        <w:rPr>
          <w:rFonts w:hint="eastAsia" w:ascii="黑体" w:hAnsi="黑体" w:eastAsia="黑体" w:cs="黑体"/>
          <w:b w:val="0"/>
          <w:bCs w:val="0"/>
          <w:color w:val="000000"/>
          <w:sz w:val="32"/>
          <w:szCs w:val="32"/>
          <w:lang w:eastAsia="zh-CN"/>
        </w:rPr>
        <w:t>一</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各部门及其所属单位的工作人员在行政事业性国有资产管理工作中滥用职权、玩忽职守、徇私舞弊或者有浪费国有资产等违法违规行为的，由有关部门依法给予处分；构成犯罪的，依法追究刑事责任。</w:t>
      </w:r>
    </w:p>
    <w:p w14:paraId="1716E7EC">
      <w:pPr>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第八章  附</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则</w:t>
      </w:r>
    </w:p>
    <w:p w14:paraId="2DBA8C41">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第六十</w:t>
      </w: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社会组织直接支配的行政事业性国有资产管理，依照《行政事业性国有资产管理条例》及本办法执行。国家另有规定</w:t>
      </w:r>
      <w:r>
        <w:rPr>
          <w:rFonts w:hint="eastAsia" w:ascii="仿宋" w:hAnsi="仿宋" w:eastAsia="仿宋" w:cs="仿宋"/>
          <w:b w:val="0"/>
          <w:bCs w:val="0"/>
          <w:color w:val="000000"/>
          <w:sz w:val="32"/>
          <w:szCs w:val="32"/>
          <w:lang w:eastAsia="zh-CN"/>
        </w:rPr>
        <w:t>的</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eastAsia="zh-CN"/>
        </w:rPr>
        <w:t>从其规定。</w:t>
      </w:r>
    </w:p>
    <w:p w14:paraId="0B3C6BEA">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第六十</w:t>
      </w: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货币形式的行政事业性国有资产管理，按照预算管理有关规定执行。</w:t>
      </w:r>
    </w:p>
    <w:p w14:paraId="69FDCB04">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执行企业财务、会计制度的事业单位以及事业单位对外投资的全资企业或者控股企业的资产管理，不适用本办法。</w:t>
      </w:r>
    </w:p>
    <w:p w14:paraId="6FEF73E2">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第六十</w:t>
      </w:r>
      <w:r>
        <w:rPr>
          <w:rFonts w:hint="eastAsia" w:ascii="黑体" w:hAnsi="黑体" w:eastAsia="黑体" w:cs="黑体"/>
          <w:b w:val="0"/>
          <w:bCs w:val="0"/>
          <w:color w:val="000000"/>
          <w:sz w:val="32"/>
          <w:szCs w:val="32"/>
          <w:lang w:eastAsia="zh-CN"/>
        </w:rPr>
        <w:t>四</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公共基础设施、政府储备物资、国有文物文化</w:t>
      </w:r>
      <w:r>
        <w:rPr>
          <w:rFonts w:hint="eastAsia" w:ascii="仿宋" w:hAnsi="仿宋" w:eastAsia="仿宋" w:cs="仿宋"/>
          <w:b w:val="0"/>
          <w:bCs w:val="0"/>
          <w:color w:val="000000"/>
          <w:sz w:val="32"/>
          <w:szCs w:val="32"/>
          <w:lang w:eastAsia="zh-CN"/>
        </w:rPr>
        <w:t>资产、保障性住房</w:t>
      </w:r>
      <w:r>
        <w:rPr>
          <w:rFonts w:hint="eastAsia" w:ascii="仿宋" w:hAnsi="仿宋" w:eastAsia="仿宋" w:cs="仿宋"/>
          <w:b w:val="0"/>
          <w:bCs w:val="0"/>
          <w:color w:val="000000"/>
          <w:sz w:val="32"/>
          <w:szCs w:val="32"/>
        </w:rPr>
        <w:t>等行政事业性国有资产管理，按照国家有关规定执行。</w:t>
      </w:r>
    </w:p>
    <w:p w14:paraId="0C395EE1">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第六</w:t>
      </w:r>
      <w:r>
        <w:rPr>
          <w:rFonts w:hint="eastAsia" w:ascii="黑体" w:hAnsi="黑体" w:eastAsia="黑体" w:cs="黑体"/>
          <w:b w:val="0"/>
          <w:bCs w:val="0"/>
          <w:color w:val="000000"/>
          <w:sz w:val="32"/>
          <w:szCs w:val="32"/>
          <w:lang w:val="en-US" w:eastAsia="zh-CN"/>
        </w:rPr>
        <w:t>十五</w:t>
      </w:r>
      <w:r>
        <w:rPr>
          <w:rFonts w:hint="eastAsia" w:ascii="黑体" w:hAnsi="黑体" w:eastAsia="黑体" w:cs="黑体"/>
          <w:b w:val="0"/>
          <w:bCs w:val="0"/>
          <w:color w:val="000000"/>
          <w:sz w:val="32"/>
          <w:szCs w:val="32"/>
        </w:rPr>
        <w:t>条</w:t>
      </w:r>
      <w:r>
        <w:rPr>
          <w:rFonts w:hint="eastAsia" w:ascii="仿宋" w:hAnsi="仿宋" w:eastAsia="仿宋" w:cs="仿宋"/>
          <w:b w:val="0"/>
          <w:bCs w:val="0"/>
          <w:color w:val="000000"/>
          <w:sz w:val="32"/>
          <w:szCs w:val="32"/>
        </w:rPr>
        <w:t xml:space="preserve">  本办法自2023年3月1日起施行。《内蒙古自治区行政事业单位国有资产管理办法》</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自治区人民政府令第181号</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同时废止。</w:t>
      </w:r>
    </w:p>
    <w:p w14:paraId="54A6E37E">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p>
    <w:p w14:paraId="01A1CC01">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p>
    <w:p w14:paraId="5F507081">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rPr>
      </w:pPr>
    </w:p>
    <w:p w14:paraId="7F50DE43">
      <w:pPr>
        <w:keepNext w:val="0"/>
        <w:keepLines w:val="0"/>
        <w:pageBreakBefore w:val="0"/>
        <w:widowControl w:val="0"/>
        <w:kinsoku/>
        <w:wordWrap/>
        <w:overflowPunct/>
        <w:topLinePunct/>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仿宋" w:hAnsi="仿宋" w:eastAsia="仿宋" w:cs="仿宋"/>
          <w:b w:val="0"/>
          <w:bCs w:val="0"/>
          <w:color w:val="000000"/>
          <w:sz w:val="32"/>
          <w:szCs w:val="32"/>
          <w:lang w:val="en-US" w:eastAsia="zh-CN"/>
        </w:rPr>
      </w:pPr>
    </w:p>
    <w:p w14:paraId="56EC2E11">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lang w:val="en-US" w:eastAsia="zh-CN"/>
        </w:rPr>
      </w:pPr>
    </w:p>
    <w:p w14:paraId="15B346CE">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lang w:val="en-US" w:eastAsia="zh-CN"/>
        </w:rPr>
      </w:pPr>
    </w:p>
    <w:p w14:paraId="70A3E877">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lang w:val="en-US" w:eastAsia="zh-CN"/>
        </w:rPr>
      </w:pPr>
    </w:p>
    <w:p w14:paraId="16D2B0D5">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lang w:val="en-US" w:eastAsia="zh-CN"/>
        </w:rPr>
      </w:pPr>
    </w:p>
    <w:p w14:paraId="10978D95">
      <w:pPr>
        <w:widowControl/>
        <w:spacing w:line="400" w:lineRule="exact"/>
        <w:ind w:left="1029" w:leftChars="98" w:right="210" w:rightChars="100" w:hanging="823" w:hangingChars="294"/>
        <w:jc w:val="left"/>
        <w:rPr>
          <w:rFonts w:hint="eastAsia" w:ascii="仿宋_GB2312" w:hAnsi="宋体" w:eastAsia="仿宋_GB2312" w:cs="Arial"/>
          <w:kern w:val="0"/>
          <w:sz w:val="28"/>
          <w:szCs w:val="24"/>
        </w:rPr>
      </w:pPr>
    </w:p>
    <w:tbl>
      <w:tblPr>
        <w:tblStyle w:val="27"/>
        <w:tblW w:w="9078" w:type="dxa"/>
        <w:tblInd w:w="0" w:type="dxa"/>
        <w:tblBorders>
          <w:top w:val="single" w:color="auto" w:sz="8" w:space="0"/>
          <w:left w:val="single" w:color="FFFFFF" w:sz="6" w:space="0"/>
          <w:bottom w:val="single" w:color="auto" w:sz="8" w:space="0"/>
          <w:right w:val="single" w:color="FFFFFF" w:sz="6" w:space="0"/>
          <w:insideH w:val="single" w:color="auto" w:sz="4" w:space="0"/>
          <w:insideV w:val="single" w:color="FFFFFF" w:sz="6" w:space="0"/>
        </w:tblBorders>
        <w:tblLayout w:type="fixed"/>
        <w:tblCellMar>
          <w:top w:w="0" w:type="dxa"/>
          <w:left w:w="108" w:type="dxa"/>
          <w:bottom w:w="0" w:type="dxa"/>
          <w:right w:w="108" w:type="dxa"/>
        </w:tblCellMar>
      </w:tblPr>
      <w:tblGrid>
        <w:gridCol w:w="5693"/>
        <w:gridCol w:w="3385"/>
      </w:tblGrid>
      <w:tr w14:paraId="550E638B">
        <w:tblPrEx>
          <w:tblBorders>
            <w:top w:val="single" w:color="auto" w:sz="8" w:space="0"/>
            <w:left w:val="single" w:color="FFFFFF" w:sz="6" w:space="0"/>
            <w:bottom w:val="single" w:color="auto" w:sz="8" w:space="0"/>
            <w:right w:val="single" w:color="FFFFFF" w:sz="6" w:space="0"/>
            <w:insideH w:val="single" w:color="auto" w:sz="4" w:space="0"/>
            <w:insideV w:val="single" w:color="FFFFFF" w:sz="6" w:space="0"/>
          </w:tblBorders>
        </w:tblPrEx>
        <w:trPr>
          <w:trHeight w:val="611" w:hRule="atLeast"/>
        </w:trPr>
        <w:tc>
          <w:tcPr>
            <w:tcW w:w="9078" w:type="dxa"/>
            <w:gridSpan w:val="2"/>
            <w:tcBorders>
              <w:tl2br w:val="nil"/>
              <w:tr2bl w:val="nil"/>
            </w:tcBorders>
            <w:noWrap w:val="0"/>
            <w:vAlign w:val="center"/>
          </w:tcPr>
          <w:p w14:paraId="648F7140">
            <w:pPr>
              <w:keepNext w:val="0"/>
              <w:keepLines w:val="0"/>
              <w:pageBreakBefore w:val="0"/>
              <w:widowControl/>
              <w:kinsoku/>
              <w:wordWrap/>
              <w:overflowPunct/>
              <w:topLinePunct w:val="0"/>
              <w:autoSpaceDE/>
              <w:autoSpaceDN/>
              <w:bidi w:val="0"/>
              <w:adjustRightInd/>
              <w:snapToGrid/>
              <w:spacing w:line="400" w:lineRule="exact"/>
              <w:ind w:left="1029" w:leftChars="98" w:right="210" w:rightChars="100" w:hanging="823" w:hangingChars="294"/>
              <w:jc w:val="left"/>
              <w:textAlignment w:val="auto"/>
              <w:rPr>
                <w:rFonts w:hint="eastAsia" w:ascii="仿宋_GB2312" w:hAnsi="宋体" w:eastAsia="仿宋_GB2312" w:cs="Arial"/>
                <w:kern w:val="0"/>
                <w:sz w:val="28"/>
              </w:rPr>
            </w:pPr>
            <w:r>
              <w:rPr>
                <w:rFonts w:hint="eastAsia" w:ascii="仿宋_GB2312" w:hAnsi="宋体" w:eastAsia="仿宋_GB2312" w:cs="Arial"/>
                <w:kern w:val="0"/>
                <w:sz w:val="28"/>
              </w:rPr>
              <w:t>分送：自治区党委常委，自治区副主席，政府秘书长、副秘书长，政府办公厅主任、副主任</w:t>
            </w:r>
            <w:r>
              <w:rPr>
                <w:rFonts w:hint="eastAsia" w:ascii="仿宋_GB2312" w:hAnsi="宋体" w:eastAsia="仿宋_GB2312" w:cs="Arial"/>
                <w:kern w:val="0"/>
                <w:sz w:val="28"/>
                <w:szCs w:val="24"/>
                <w:lang w:eastAsia="zh-CN"/>
              </w:rPr>
              <w:t>、一级巡视员</w:t>
            </w:r>
            <w:r>
              <w:rPr>
                <w:rFonts w:hint="eastAsia" w:ascii="仿宋_GB2312" w:hAnsi="宋体" w:eastAsia="仿宋_GB2312" w:cs="Arial"/>
                <w:kern w:val="0"/>
                <w:sz w:val="28"/>
              </w:rPr>
              <w:t>。</w:t>
            </w:r>
          </w:p>
          <w:p w14:paraId="526323D0">
            <w:pPr>
              <w:keepNext w:val="0"/>
              <w:keepLines w:val="0"/>
              <w:pageBreakBefore w:val="0"/>
              <w:widowControl/>
              <w:kinsoku/>
              <w:wordWrap/>
              <w:overflowPunct/>
              <w:topLinePunct w:val="0"/>
              <w:autoSpaceDE/>
              <w:autoSpaceDN/>
              <w:bidi w:val="0"/>
              <w:adjustRightInd/>
              <w:snapToGrid/>
              <w:spacing w:line="400" w:lineRule="exact"/>
              <w:ind w:left="804" w:leftChars="383" w:right="210" w:rightChars="100" w:firstLine="294" w:firstLineChars="105"/>
              <w:jc w:val="left"/>
              <w:textAlignment w:val="auto"/>
              <w:rPr>
                <w:rFonts w:hint="eastAsia" w:ascii="仿宋_GB2312" w:hAnsi="宋体" w:eastAsia="仿宋_GB2312" w:cs="Arial"/>
                <w:kern w:val="0"/>
                <w:sz w:val="28"/>
              </w:rPr>
            </w:pPr>
            <w:r>
              <w:rPr>
                <w:rFonts w:hint="eastAsia" w:ascii="仿宋_GB2312" w:hAnsi="宋体" w:eastAsia="仿宋_GB2312" w:cs="Arial"/>
                <w:spacing w:val="0"/>
                <w:kern w:val="0"/>
                <w:sz w:val="28"/>
              </w:rPr>
              <w:t>各盟行政公署、市人民政府，自治区各委、办、</w:t>
            </w:r>
            <w:r>
              <w:rPr>
                <w:rFonts w:hint="eastAsia" w:ascii="仿宋_GB2312" w:hAnsi="宋体" w:eastAsia="仿宋_GB2312" w:cs="Arial"/>
                <w:kern w:val="0"/>
                <w:sz w:val="28"/>
              </w:rPr>
              <w:t>厅、局，各大</w:t>
            </w:r>
          </w:p>
          <w:p w14:paraId="1B72D9C0">
            <w:pPr>
              <w:keepNext w:val="0"/>
              <w:keepLines w:val="0"/>
              <w:pageBreakBefore w:val="0"/>
              <w:widowControl/>
              <w:kinsoku/>
              <w:wordWrap/>
              <w:overflowPunct/>
              <w:topLinePunct w:val="0"/>
              <w:autoSpaceDE/>
              <w:autoSpaceDN/>
              <w:bidi w:val="0"/>
              <w:adjustRightInd/>
              <w:snapToGrid/>
              <w:spacing w:line="400" w:lineRule="exact"/>
              <w:ind w:left="804" w:leftChars="383" w:right="210" w:rightChars="100" w:firstLine="294" w:firstLineChars="105"/>
              <w:jc w:val="left"/>
              <w:textAlignment w:val="auto"/>
              <w:rPr>
                <w:rFonts w:hint="eastAsia" w:ascii="仿宋_GB2312" w:hAnsi="宋体" w:eastAsia="仿宋_GB2312" w:cs="Arial"/>
                <w:kern w:val="0"/>
                <w:sz w:val="28"/>
              </w:rPr>
            </w:pPr>
            <w:r>
              <w:rPr>
                <w:rFonts w:hint="eastAsia" w:ascii="仿宋_GB2312" w:hAnsi="宋体" w:eastAsia="仿宋_GB2312" w:cs="Arial"/>
                <w:kern w:val="0"/>
                <w:sz w:val="28"/>
              </w:rPr>
              <w:t>企业、事业单位。</w:t>
            </w:r>
          </w:p>
          <w:p w14:paraId="3D62ABDB">
            <w:pPr>
              <w:keepNext w:val="0"/>
              <w:keepLines w:val="0"/>
              <w:pageBreakBefore w:val="0"/>
              <w:widowControl/>
              <w:kinsoku/>
              <w:wordWrap/>
              <w:overflowPunct/>
              <w:topLinePunct w:val="0"/>
              <w:autoSpaceDE/>
              <w:autoSpaceDN/>
              <w:bidi w:val="0"/>
              <w:adjustRightInd/>
              <w:snapToGrid/>
              <w:spacing w:line="400" w:lineRule="exact"/>
              <w:ind w:left="1044" w:leftChars="497" w:right="210" w:rightChars="100" w:firstLine="16" w:firstLineChars="6"/>
              <w:jc w:val="left"/>
              <w:textAlignment w:val="auto"/>
              <w:rPr>
                <w:rFonts w:hint="eastAsia" w:ascii="仿宋_GB2312" w:hAnsi="宋体" w:eastAsia="仿宋_GB2312" w:cs="Arial"/>
                <w:kern w:val="0"/>
                <w:sz w:val="28"/>
              </w:rPr>
            </w:pPr>
            <w:r>
              <w:rPr>
                <w:rFonts w:hint="eastAsia" w:ascii="仿宋_GB2312" w:hAnsi="宋体" w:eastAsia="仿宋_GB2312" w:cs="Arial"/>
                <w:kern w:val="0"/>
                <w:sz w:val="28"/>
              </w:rPr>
              <w:t>自治区党委各部门，内蒙古军区，武警内蒙古总队。</w:t>
            </w:r>
          </w:p>
          <w:p w14:paraId="2C294788">
            <w:pPr>
              <w:keepNext w:val="0"/>
              <w:keepLines w:val="0"/>
              <w:pageBreakBefore w:val="0"/>
              <w:widowControl/>
              <w:kinsoku/>
              <w:wordWrap/>
              <w:overflowPunct/>
              <w:topLinePunct w:val="0"/>
              <w:autoSpaceDE/>
              <w:autoSpaceDN/>
              <w:bidi w:val="0"/>
              <w:adjustRightInd/>
              <w:snapToGrid/>
              <w:spacing w:line="400" w:lineRule="exact"/>
              <w:ind w:left="804" w:leftChars="383" w:right="210" w:rightChars="100" w:firstLine="294" w:firstLineChars="105"/>
              <w:jc w:val="left"/>
              <w:textAlignment w:val="auto"/>
              <w:rPr>
                <w:rFonts w:hint="eastAsia" w:ascii="仿宋_GB2312" w:hAnsi="宋体" w:eastAsia="仿宋_GB2312" w:cs="Arial"/>
                <w:kern w:val="0"/>
                <w:sz w:val="28"/>
                <w:szCs w:val="24"/>
              </w:rPr>
            </w:pPr>
            <w:r>
              <w:rPr>
                <w:rFonts w:hint="eastAsia" w:ascii="仿宋_GB2312" w:hAnsi="宋体" w:eastAsia="仿宋_GB2312" w:cs="Arial"/>
                <w:spacing w:val="0"/>
                <w:kern w:val="0"/>
                <w:sz w:val="28"/>
              </w:rPr>
              <w:t>自治区人大常委会办公厅、政协办公厅，自治区监委，</w:t>
            </w:r>
            <w:r>
              <w:rPr>
                <w:rFonts w:hint="eastAsia" w:ascii="仿宋_GB2312" w:hAnsi="宋体" w:eastAsia="仿宋_GB2312" w:cs="Arial"/>
                <w:kern w:val="0"/>
                <w:sz w:val="28"/>
                <w:szCs w:val="24"/>
              </w:rPr>
              <w:t>自治区</w:t>
            </w:r>
          </w:p>
          <w:p w14:paraId="7D9AFFAC">
            <w:pPr>
              <w:keepNext w:val="0"/>
              <w:keepLines w:val="0"/>
              <w:pageBreakBefore w:val="0"/>
              <w:widowControl/>
              <w:kinsoku/>
              <w:wordWrap/>
              <w:overflowPunct/>
              <w:topLinePunct w:val="0"/>
              <w:autoSpaceDE/>
              <w:autoSpaceDN/>
              <w:bidi w:val="0"/>
              <w:adjustRightInd/>
              <w:snapToGrid/>
              <w:spacing w:line="400" w:lineRule="exact"/>
              <w:ind w:left="804" w:leftChars="383" w:right="210" w:rightChars="100" w:firstLine="294" w:firstLineChars="105"/>
              <w:jc w:val="left"/>
              <w:textAlignment w:val="auto"/>
              <w:rPr>
                <w:rFonts w:hint="eastAsia" w:ascii="仿宋_GB2312" w:hAnsi="宋体" w:eastAsia="仿宋_GB2312" w:cs="Arial"/>
                <w:kern w:val="0"/>
                <w:sz w:val="28"/>
                <w:szCs w:val="24"/>
              </w:rPr>
            </w:pPr>
            <w:r>
              <w:rPr>
                <w:rFonts w:hint="eastAsia" w:ascii="仿宋_GB2312" w:hAnsi="宋体" w:eastAsia="仿宋_GB2312" w:cs="Arial"/>
                <w:kern w:val="0"/>
                <w:sz w:val="28"/>
                <w:szCs w:val="24"/>
              </w:rPr>
              <w:t>高级人民法院，检察院。</w:t>
            </w:r>
          </w:p>
          <w:p w14:paraId="20B00CCF">
            <w:pPr>
              <w:keepNext w:val="0"/>
              <w:keepLines w:val="0"/>
              <w:pageBreakBefore w:val="0"/>
              <w:widowControl/>
              <w:kinsoku/>
              <w:wordWrap/>
              <w:overflowPunct/>
              <w:topLinePunct w:val="0"/>
              <w:autoSpaceDE/>
              <w:autoSpaceDN/>
              <w:bidi w:val="0"/>
              <w:adjustRightInd/>
              <w:snapToGrid/>
              <w:spacing w:line="400" w:lineRule="exact"/>
              <w:ind w:left="1044" w:leftChars="497" w:right="210" w:rightChars="100" w:firstLine="16" w:firstLineChars="6"/>
              <w:jc w:val="left"/>
              <w:textAlignment w:val="auto"/>
              <w:rPr>
                <w:rFonts w:hint="eastAsia" w:ascii="仿宋_GB2312" w:hAnsi="宋体" w:eastAsia="仿宋_GB2312" w:cs="Arial"/>
                <w:kern w:val="0"/>
                <w:sz w:val="28"/>
                <w:szCs w:val="24"/>
              </w:rPr>
            </w:pPr>
            <w:r>
              <w:rPr>
                <w:rFonts w:hint="eastAsia" w:ascii="仿宋_GB2312" w:hAnsi="宋体" w:eastAsia="仿宋_GB2312" w:cs="Arial"/>
                <w:kern w:val="0"/>
                <w:sz w:val="28"/>
              </w:rPr>
              <w:t>各人民团体，新闻单位。</w:t>
            </w:r>
          </w:p>
        </w:tc>
      </w:tr>
      <w:tr w14:paraId="1988DAD6">
        <w:tblPrEx>
          <w:tblBorders>
            <w:top w:val="single" w:color="auto" w:sz="8" w:space="0"/>
            <w:left w:val="single" w:color="FFFFFF" w:sz="6" w:space="0"/>
            <w:bottom w:val="single" w:color="auto" w:sz="8" w:space="0"/>
            <w:right w:val="single" w:color="FFFFFF" w:sz="6" w:space="0"/>
            <w:insideH w:val="single" w:color="auto" w:sz="4" w:space="0"/>
            <w:insideV w:val="single" w:color="FFFFFF" w:sz="6" w:space="0"/>
          </w:tblBorders>
          <w:tblCellMar>
            <w:top w:w="0" w:type="dxa"/>
            <w:left w:w="108" w:type="dxa"/>
            <w:bottom w:w="0" w:type="dxa"/>
            <w:right w:w="108" w:type="dxa"/>
          </w:tblCellMar>
        </w:tblPrEx>
        <w:trPr>
          <w:trHeight w:val="620" w:hRule="atLeast"/>
        </w:trPr>
        <w:tc>
          <w:tcPr>
            <w:tcW w:w="5693" w:type="dxa"/>
            <w:tcBorders>
              <w:tl2br w:val="nil"/>
              <w:tr2bl w:val="nil"/>
            </w:tcBorders>
            <w:noWrap w:val="0"/>
            <w:vAlign w:val="center"/>
          </w:tcPr>
          <w:p w14:paraId="0666D060">
            <w:pPr>
              <w:keepNext w:val="0"/>
              <w:keepLines w:val="0"/>
              <w:pageBreakBefore w:val="0"/>
              <w:widowControl/>
              <w:kinsoku/>
              <w:wordWrap/>
              <w:overflowPunct/>
              <w:topLinePunct w:val="0"/>
              <w:autoSpaceDE/>
              <w:autoSpaceDN/>
              <w:bidi w:val="0"/>
              <w:adjustRightInd/>
              <w:snapToGrid/>
              <w:spacing w:line="400" w:lineRule="exact"/>
              <w:ind w:left="1029" w:leftChars="98" w:right="210" w:rightChars="100" w:hanging="823" w:hangingChars="294"/>
              <w:jc w:val="left"/>
              <w:textAlignment w:val="auto"/>
              <w:rPr>
                <w:rFonts w:hint="eastAsia" w:ascii="仿宋_GB2312" w:hAnsi="宋体" w:eastAsia="仿宋_GB2312" w:cs="Arial"/>
                <w:kern w:val="0"/>
                <w:sz w:val="28"/>
                <w:szCs w:val="24"/>
              </w:rPr>
            </w:pPr>
            <w:r>
              <w:rPr>
                <w:rFonts w:hint="eastAsia" w:ascii="仿宋_GB2312" w:hAnsi="宋体" w:eastAsia="仿宋_GB2312" w:cs="Arial"/>
                <w:kern w:val="0"/>
                <w:sz w:val="28"/>
                <w:szCs w:val="24"/>
              </w:rPr>
              <w:t>内蒙古自治区人民政府办公厅文电处</w:t>
            </w:r>
          </w:p>
        </w:tc>
        <w:tc>
          <w:tcPr>
            <w:tcW w:w="3385" w:type="dxa"/>
            <w:tcBorders>
              <w:tl2br w:val="nil"/>
              <w:tr2bl w:val="nil"/>
            </w:tcBorders>
            <w:noWrap w:val="0"/>
            <w:vAlign w:val="center"/>
          </w:tcPr>
          <w:p w14:paraId="54F9A177">
            <w:pPr>
              <w:keepNext w:val="0"/>
              <w:keepLines w:val="0"/>
              <w:pageBreakBefore w:val="0"/>
              <w:widowControl/>
              <w:kinsoku/>
              <w:wordWrap/>
              <w:overflowPunct/>
              <w:topLinePunct w:val="0"/>
              <w:autoSpaceDE/>
              <w:autoSpaceDN/>
              <w:bidi w:val="0"/>
              <w:adjustRightInd/>
              <w:snapToGrid/>
              <w:spacing w:line="400" w:lineRule="exact"/>
              <w:ind w:left="0" w:leftChars="0" w:right="210" w:rightChars="100" w:firstLine="280" w:firstLineChars="100"/>
              <w:jc w:val="left"/>
              <w:textAlignment w:val="auto"/>
              <w:rPr>
                <w:rFonts w:hint="eastAsia" w:ascii="仿宋_GB2312" w:hAnsi="宋体" w:eastAsia="仿宋_GB2312" w:cs="Arial"/>
                <w:kern w:val="0"/>
                <w:sz w:val="28"/>
                <w:szCs w:val="24"/>
              </w:rPr>
            </w:pPr>
            <w:r>
              <w:rPr>
                <w:rFonts w:hint="eastAsia" w:ascii="仿宋_GB2312" w:hAnsi="宋体" w:eastAsia="仿宋_GB2312" w:cs="Arial"/>
                <w:spacing w:val="0"/>
                <w:kern w:val="0"/>
                <w:sz w:val="28"/>
                <w:szCs w:val="24"/>
                <w:lang w:val="en-US" w:eastAsia="zh-CN"/>
              </w:rPr>
              <w:t>2024年5月11日</w:t>
            </w:r>
            <w:r>
              <w:rPr>
                <w:rFonts w:hint="eastAsia" w:ascii="仿宋_GB2312" w:hAnsi="宋体" w:eastAsia="仿宋_GB2312" w:cs="Arial"/>
                <w:kern w:val="0"/>
                <w:sz w:val="28"/>
                <w:szCs w:val="24"/>
              </w:rPr>
              <w:t>印发</w:t>
            </w:r>
          </w:p>
        </w:tc>
      </w:tr>
    </w:tbl>
    <w:p w14:paraId="546F67CE">
      <w:pPr>
        <w:keepNext w:val="0"/>
        <w:keepLines w:val="0"/>
        <w:pageBreakBefore w:val="0"/>
        <w:widowControl/>
        <w:kinsoku/>
        <w:wordWrap/>
        <w:overflowPunct/>
        <w:topLinePunct w:val="0"/>
        <w:autoSpaceDE/>
        <w:autoSpaceDN/>
        <w:bidi w:val="0"/>
        <w:adjustRightInd/>
        <w:snapToGrid/>
        <w:spacing w:line="20" w:lineRule="exact"/>
        <w:ind w:left="0" w:leftChars="0" w:right="210" w:rightChars="100" w:firstLine="0" w:firstLineChars="0"/>
        <w:jc w:val="left"/>
        <w:textAlignment w:val="auto"/>
        <w:rPr>
          <w:rFonts w:hint="eastAsia" w:ascii="仿宋_GB2312" w:hAnsi="宋体" w:eastAsia="仿宋_GB2312" w:cs="Arial"/>
          <w:kern w:val="0"/>
          <w:sz w:val="28"/>
        </w:rPr>
      </w:pPr>
    </w:p>
    <w:p w14:paraId="532728D9">
      <w:pPr>
        <w:spacing w:line="20" w:lineRule="exact"/>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14:paraId="569814CB">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58315" cy="374015"/>
                                  <wp:effectExtent l="0" t="0" r="13335" b="6985"/>
                                  <wp:docPr id="3" name="图片 3" descr="20240510162237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40510162237_7056"/>
                                          <pic:cNvPicPr>
                                            <a:picLocks noChangeAspect="1"/>
                                          </pic:cNvPicPr>
                                        </pic:nvPicPr>
                                        <pic:blipFill>
                                          <a:blip r:embed="rId8"/>
                                          <a:stretch>
                                            <a:fillRect/>
                                          </a:stretch>
                                        </pic:blipFill>
                                        <pic:spPr>
                                          <a:xfrm>
                                            <a:off x="0" y="0"/>
                                            <a:ext cx="1758315" cy="37401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9264;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qbwF2wAAAA0BAAAPAAAA&#10;AAAAAAEAIAAAACIAAABkcnMvZG93bnJldi54bWxQSwECFAAUAAAACACHTuJAasOYANkBAADBAwAA&#10;DgAAAAAAAAABACAAAAAqAQAAZHJzL2Uyb0RvYy54bWxQSwUGAAAAAAYABgBZAQAAdQUAAAAA&#10;">
                <v:fill on="t" focussize="0,0"/>
                <v:stroke on="f"/>
                <v:imagedata o:title=""/>
                <o:lock v:ext="edit" aspectratio="f"/>
                <v:textbox style="mso-fit-shape-to-text:t;">
                  <w:txbxContent>
                    <w:p w14:paraId="569814CB">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58315" cy="374015"/>
                            <wp:effectExtent l="0" t="0" r="13335" b="6985"/>
                            <wp:docPr id="3" name="图片 3" descr="20240510162237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40510162237_7056"/>
                                    <pic:cNvPicPr>
                                      <a:picLocks noChangeAspect="1"/>
                                    </pic:cNvPicPr>
                                  </pic:nvPicPr>
                                  <pic:blipFill>
                                    <a:blip r:embed="rId8"/>
                                    <a:stretch>
                                      <a:fillRect/>
                                    </a:stretch>
                                  </pic:blipFill>
                                  <pic:spPr>
                                    <a:xfrm>
                                      <a:off x="0" y="0"/>
                                      <a:ext cx="1758315" cy="374015"/>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4D2577-B20B-4E72-A6EF-1DA600656E4D}"/>
  </w:font>
  <w:font w:name="黑体">
    <w:panose1 w:val="02010609060101010101"/>
    <w:charset w:val="86"/>
    <w:family w:val="auto"/>
    <w:pitch w:val="default"/>
    <w:sig w:usb0="800002BF" w:usb1="38CF7CFA" w:usb2="00000016" w:usb3="00000000" w:csb0="00040001" w:csb1="00000000"/>
    <w:embedRegular r:id="rId2" w:fontKey="{19B9F60E-C28A-4A4C-BEEA-85937D6F6D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EB6FDA9-277E-415F-B54B-A2FD7669B918}"/>
  </w:font>
  <w:font w:name="Mongolian Baiti">
    <w:panose1 w:val="03000500000000000000"/>
    <w:charset w:val="00"/>
    <w:family w:val="script"/>
    <w:pitch w:val="default"/>
    <w:sig w:usb0="80000023" w:usb1="00000000" w:usb2="00020000" w:usb3="00000000" w:csb0="00000001" w:csb1="00000000"/>
    <w:embedRegular r:id="rId4" w:fontKey="{50E891D3-22AF-44F7-9AF2-699D97B4E0CE}"/>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5" w:fontKey="{5ECE497B-15D3-4985-A72D-071CF13313FF}"/>
  </w:font>
  <w:font w:name="仿宋_GB2312">
    <w:altName w:val="仿宋"/>
    <w:panose1 w:val="02010609030101010101"/>
    <w:charset w:val="86"/>
    <w:family w:val="modern"/>
    <w:pitch w:val="default"/>
    <w:sig w:usb0="00000000" w:usb1="00000000" w:usb2="00000000" w:usb3="00000000" w:csb0="00040000" w:csb1="00000000"/>
    <w:embedRegular r:id="rId6" w:fontKey="{F661E01B-0271-4BA3-8C07-73962EEFF1A5}"/>
  </w:font>
  <w:font w:name="方正仿宋_GBK">
    <w:altName w:val="微软雅黑"/>
    <w:panose1 w:val="03000509000000000000"/>
    <w:charset w:val="86"/>
    <w:family w:val="script"/>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7" w:fontKey="{9B1AEBCC-0B88-4A39-86B6-FCA484A4281F}"/>
  </w:font>
  <w:font w:name="方正小标宋_GBK">
    <w:altName w:val="微软雅黑"/>
    <w:panose1 w:val="03000502000000000000"/>
    <w:charset w:val="86"/>
    <w:family w:val="auto"/>
    <w:pitch w:val="default"/>
    <w:sig w:usb0="00000000" w:usb1="00000000" w:usb2="00000000" w:usb3="00000000" w:csb0="00040000" w:csb1="00000000"/>
    <w:embedRegular r:id="rId8" w:fontKey="{C966678B-B28A-421D-9B7A-257527A2EF4D}"/>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9" w:fontKey="{1D1B6984-503F-4BAD-8211-F30D75E0F5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94DD6">
    <w:pPr>
      <w:pStyle w:val="15"/>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3569032">
                          <w:pPr>
                            <w:pStyle w:val="15"/>
                            <w:jc w:val="both"/>
                          </w:pPr>
                          <w:r>
                            <w:rPr>
                              <w:rStyle w:val="31"/>
                              <w:rFonts w:hint="eastAsia" w:ascii="宋体" w:hAnsi="宋体"/>
                              <w:sz w:val="28"/>
                              <w:szCs w:val="28"/>
                            </w:rPr>
                            <w:t xml:space="preserve">  </w:t>
                          </w:r>
                          <w:r>
                            <w:rPr>
                              <w:rFonts w:ascii="宋体" w:hAnsi="宋体"/>
                              <w:sz w:val="28"/>
                              <w:szCs w:val="28"/>
                            </w:rPr>
                            <w:fldChar w:fldCharType="begin"/>
                          </w:r>
                          <w:r>
                            <w:rPr>
                              <w:rStyle w:val="31"/>
                              <w:rFonts w:ascii="宋体" w:hAnsi="宋体"/>
                              <w:sz w:val="28"/>
                              <w:szCs w:val="28"/>
                            </w:rPr>
                            <w:instrText xml:space="preserve"> PAGE </w:instrText>
                          </w:r>
                          <w:r>
                            <w:rPr>
                              <w:rFonts w:ascii="宋体" w:hAnsi="宋体"/>
                              <w:sz w:val="28"/>
                              <w:szCs w:val="28"/>
                            </w:rPr>
                            <w:fldChar w:fldCharType="separate"/>
                          </w:r>
                          <w:r>
                            <w:rPr>
                              <w:rStyle w:val="31"/>
                              <w:rFonts w:ascii="宋体" w:hAnsi="宋体"/>
                              <w:sz w:val="28"/>
                              <w:szCs w:val="28"/>
                            </w:rPr>
                            <w:t>- 1 -</w:t>
                          </w:r>
                          <w:r>
                            <w:rPr>
                              <w:rFonts w:ascii="宋体" w:hAnsi="宋体"/>
                              <w:sz w:val="28"/>
                              <w:szCs w:val="28"/>
                            </w:rPr>
                            <w:fldChar w:fldCharType="end"/>
                          </w:r>
                          <w:r>
                            <w:rPr>
                              <w:rStyle w:val="31"/>
                              <w:rFonts w:hint="eastAsia" w:ascii="宋体" w:hAnsi="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14:paraId="43569032">
                    <w:pPr>
                      <w:pStyle w:val="15"/>
                      <w:jc w:val="both"/>
                    </w:pPr>
                    <w:r>
                      <w:rPr>
                        <w:rStyle w:val="31"/>
                        <w:rFonts w:hint="eastAsia" w:ascii="宋体" w:hAnsi="宋体"/>
                        <w:sz w:val="28"/>
                        <w:szCs w:val="28"/>
                      </w:rPr>
                      <w:t xml:space="preserve">  </w:t>
                    </w:r>
                    <w:r>
                      <w:rPr>
                        <w:rFonts w:ascii="宋体" w:hAnsi="宋体"/>
                        <w:sz w:val="28"/>
                        <w:szCs w:val="28"/>
                      </w:rPr>
                      <w:fldChar w:fldCharType="begin"/>
                    </w:r>
                    <w:r>
                      <w:rPr>
                        <w:rStyle w:val="31"/>
                        <w:rFonts w:ascii="宋体" w:hAnsi="宋体"/>
                        <w:sz w:val="28"/>
                        <w:szCs w:val="28"/>
                      </w:rPr>
                      <w:instrText xml:space="preserve"> PAGE </w:instrText>
                    </w:r>
                    <w:r>
                      <w:rPr>
                        <w:rFonts w:ascii="宋体" w:hAnsi="宋体"/>
                        <w:sz w:val="28"/>
                        <w:szCs w:val="28"/>
                      </w:rPr>
                      <w:fldChar w:fldCharType="separate"/>
                    </w:r>
                    <w:r>
                      <w:rPr>
                        <w:rStyle w:val="31"/>
                        <w:rFonts w:ascii="宋体" w:hAnsi="宋体"/>
                        <w:sz w:val="28"/>
                        <w:szCs w:val="28"/>
                      </w:rPr>
                      <w:t>- 1 -</w:t>
                    </w:r>
                    <w:r>
                      <w:rPr>
                        <w:rFonts w:ascii="宋体" w:hAnsi="宋体"/>
                        <w:sz w:val="28"/>
                        <w:szCs w:val="28"/>
                      </w:rPr>
                      <w:fldChar w:fldCharType="end"/>
                    </w:r>
                    <w:r>
                      <w:rPr>
                        <w:rStyle w:val="31"/>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DBD0E">
    <w:pPr>
      <w:pStyle w:val="15"/>
      <w:rPr>
        <w:rFonts w:ascii="宋体" w:hAnsi="宋体"/>
        <w:sz w:val="28"/>
        <w:szCs w:val="28"/>
      </w:rPr>
    </w:pPr>
    <w:r>
      <w:rPr>
        <w:rFonts w:ascii="宋体" w:hAnsi="宋体"/>
        <w:sz w:val="28"/>
        <w:szCs w:val="28"/>
      </w:rPr>
      <w:fldChar w:fldCharType="begin"/>
    </w:r>
    <w:r>
      <w:rPr>
        <w:rStyle w:val="31"/>
        <w:rFonts w:ascii="宋体" w:hAnsi="宋体"/>
        <w:sz w:val="28"/>
        <w:szCs w:val="28"/>
      </w:rPr>
      <w:instrText xml:space="preserve"> PAGE </w:instrText>
    </w:r>
    <w:r>
      <w:rPr>
        <w:rFonts w:ascii="宋体" w:hAnsi="宋体"/>
        <w:sz w:val="28"/>
        <w:szCs w:val="28"/>
      </w:rPr>
      <w:fldChar w:fldCharType="separate"/>
    </w:r>
    <w:r>
      <w:rPr>
        <w:rStyle w:val="31"/>
        <w:rFonts w:ascii="宋体" w:hAnsi="宋体"/>
        <w:sz w:val="28"/>
        <w:szCs w:val="28"/>
      </w:rPr>
      <w:t>- 2 -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DDE8E">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3D466">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rawingGridHorizontalSpacing w:val="142"/>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9216D"/>
    <w:rsid w:val="0079104F"/>
    <w:rsid w:val="00793906"/>
    <w:rsid w:val="008633AC"/>
    <w:rsid w:val="008E5B67"/>
    <w:rsid w:val="00B2393E"/>
    <w:rsid w:val="00D768A5"/>
    <w:rsid w:val="00DE04E5"/>
    <w:rsid w:val="00E21449"/>
    <w:rsid w:val="00E47EA0"/>
    <w:rsid w:val="01EF19FB"/>
    <w:rsid w:val="06A47E92"/>
    <w:rsid w:val="087B5DA0"/>
    <w:rsid w:val="0F73D164"/>
    <w:rsid w:val="11C51CC9"/>
    <w:rsid w:val="16FD528C"/>
    <w:rsid w:val="18CE3E59"/>
    <w:rsid w:val="1CFE6FB0"/>
    <w:rsid w:val="1D377A34"/>
    <w:rsid w:val="1DE938EA"/>
    <w:rsid w:val="1EC242CD"/>
    <w:rsid w:val="1EEA1AFE"/>
    <w:rsid w:val="26A23B6A"/>
    <w:rsid w:val="288662EF"/>
    <w:rsid w:val="2A9542FD"/>
    <w:rsid w:val="2B7379D3"/>
    <w:rsid w:val="2E9E230A"/>
    <w:rsid w:val="2F2FBC78"/>
    <w:rsid w:val="2F52A814"/>
    <w:rsid w:val="2F627616"/>
    <w:rsid w:val="2F737F21"/>
    <w:rsid w:val="2F7D5FCC"/>
    <w:rsid w:val="301C5C89"/>
    <w:rsid w:val="320E6D47"/>
    <w:rsid w:val="3CCF400D"/>
    <w:rsid w:val="3D463DD7"/>
    <w:rsid w:val="3FA3EE58"/>
    <w:rsid w:val="41AE7FB8"/>
    <w:rsid w:val="420B72D0"/>
    <w:rsid w:val="538F427C"/>
    <w:rsid w:val="5EBD30FE"/>
    <w:rsid w:val="5F1160CE"/>
    <w:rsid w:val="5FDFE490"/>
    <w:rsid w:val="62B125BB"/>
    <w:rsid w:val="66A44CBD"/>
    <w:rsid w:val="674F55AB"/>
    <w:rsid w:val="6EFFE4D0"/>
    <w:rsid w:val="6FB7BD75"/>
    <w:rsid w:val="73DEA320"/>
    <w:rsid w:val="748C6FD2"/>
    <w:rsid w:val="76CC5AE5"/>
    <w:rsid w:val="76E80A9E"/>
    <w:rsid w:val="76E86E31"/>
    <w:rsid w:val="77BF3106"/>
    <w:rsid w:val="79A35066"/>
    <w:rsid w:val="7AA816C0"/>
    <w:rsid w:val="7BF752BB"/>
    <w:rsid w:val="7E102964"/>
    <w:rsid w:val="7E9F10F3"/>
    <w:rsid w:val="7FFE02A7"/>
    <w:rsid w:val="BA5C832F"/>
    <w:rsid w:val="BABFBE52"/>
    <w:rsid w:val="BFF5CDF2"/>
    <w:rsid w:val="CFDD668D"/>
    <w:rsid w:val="D39F35DE"/>
    <w:rsid w:val="EEFF6489"/>
    <w:rsid w:val="EFF4E7A7"/>
    <w:rsid w:val="EFF6DC98"/>
    <w:rsid w:val="F3DF57FD"/>
    <w:rsid w:val="F7E3837F"/>
    <w:rsid w:val="FAAFC98D"/>
    <w:rsid w:val="FB33CD37"/>
    <w:rsid w:val="FDFFACF9"/>
    <w:rsid w:val="FFDFC3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Mongolian Bait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Mongolian Baiti"/>
      <w:kern w:val="2"/>
      <w:sz w:val="21"/>
      <w:szCs w:val="24"/>
      <w:lang w:val="en-US" w:eastAsia="zh-CN" w:bidi="ar-SA"/>
    </w:rPr>
  </w:style>
  <w:style w:type="paragraph" w:styleId="2">
    <w:name w:val="heading 1"/>
    <w:basedOn w:val="1"/>
    <w:next w:val="1"/>
    <w:link w:val="51"/>
    <w:uiPriority w:val="0"/>
    <w:pPr>
      <w:keepNext/>
      <w:keepLines/>
      <w:spacing w:before="340" w:beforeLines="0" w:after="330" w:afterLines="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1"/>
    <w:uiPriority w:val="0"/>
    <w:pPr>
      <w:keepNext/>
      <w:keepLines/>
      <w:spacing w:before="260" w:beforeLines="0" w:after="260" w:afterLines="0" w:line="416" w:lineRule="auto"/>
      <w:outlineLvl w:val="1"/>
    </w:pPr>
    <w:rPr>
      <w:rFonts w:ascii="Arial" w:hAnsi="Arial" w:eastAsia="黑体" w:cs="Times New Roman"/>
      <w:b/>
      <w:sz w:val="32"/>
      <w:szCs w:val="20"/>
    </w:rPr>
  </w:style>
  <w:style w:type="paragraph" w:styleId="4">
    <w:name w:val="heading 3"/>
    <w:basedOn w:val="1"/>
    <w:next w:val="1"/>
    <w:link w:val="53"/>
    <w:uiPriority w:val="0"/>
    <w:pPr>
      <w:keepNext/>
      <w:keepLines/>
      <w:spacing w:before="260" w:beforeLines="0" w:after="260" w:afterLines="0" w:line="416" w:lineRule="auto"/>
      <w:outlineLvl w:val="2"/>
    </w:pPr>
    <w:rPr>
      <w:rFonts w:ascii="Calibri" w:hAnsi="Calibri" w:eastAsia="宋体" w:cs="Times New Roman"/>
      <w:b/>
      <w:bCs/>
      <w:kern w:val="2"/>
      <w:sz w:val="32"/>
      <w:szCs w:val="32"/>
    </w:rPr>
  </w:style>
  <w:style w:type="character" w:default="1" w:styleId="29">
    <w:name w:val="Default Paragraph Font"/>
    <w:semiHidden/>
    <w:uiPriority w:val="0"/>
  </w:style>
  <w:style w:type="table" w:default="1" w:styleId="27">
    <w:name w:val="Normal Table"/>
    <w:semiHidden/>
    <w:uiPriority w:val="0"/>
    <w:tblPr>
      <w:tblCellMar>
        <w:top w:w="0" w:type="dxa"/>
        <w:left w:w="108" w:type="dxa"/>
        <w:bottom w:w="0" w:type="dxa"/>
        <w:right w:w="108" w:type="dxa"/>
      </w:tblCellMar>
    </w:tblPr>
  </w:style>
  <w:style w:type="paragraph" w:styleId="5">
    <w:name w:val="toc 7"/>
    <w:basedOn w:val="1"/>
    <w:next w:val="1"/>
    <w:qFormat/>
    <w:uiPriority w:val="0"/>
    <w:pPr>
      <w:ind w:left="2520" w:leftChars="1200"/>
    </w:pPr>
    <w:rPr>
      <w:rFonts w:ascii="Calibri" w:hAnsi="Calibri" w:eastAsia="宋体" w:cs="Times New Roman"/>
      <w:szCs w:val="22"/>
    </w:rPr>
  </w:style>
  <w:style w:type="paragraph" w:styleId="6">
    <w:name w:val="Normal Indent"/>
    <w:basedOn w:val="1"/>
    <w:next w:val="1"/>
    <w:uiPriority w:val="0"/>
    <w:pPr>
      <w:widowControl/>
      <w:kinsoku w:val="0"/>
      <w:autoSpaceDE w:val="0"/>
      <w:autoSpaceDN w:val="0"/>
      <w:adjustRightInd w:val="0"/>
      <w:snapToGrid w:val="0"/>
      <w:spacing w:line="240" w:lineRule="auto"/>
      <w:ind w:firstLine="567"/>
      <w:jc w:val="left"/>
      <w:textAlignment w:val="baseline"/>
    </w:pPr>
    <w:rPr>
      <w:rFonts w:ascii="Arial" w:hAnsi="Arial" w:eastAsia="Arial" w:cs="Arial"/>
      <w:snapToGrid w:val="0"/>
      <w:color w:val="000000"/>
      <w:kern w:val="0"/>
      <w:sz w:val="28"/>
      <w:szCs w:val="28"/>
    </w:rPr>
  </w:style>
  <w:style w:type="paragraph" w:styleId="7">
    <w:name w:val="Document Map"/>
    <w:basedOn w:val="1"/>
    <w:link w:val="54"/>
    <w:qFormat/>
    <w:uiPriority w:val="0"/>
    <w:pPr>
      <w:shd w:val="clear" w:color="auto" w:fill="000080"/>
    </w:pPr>
    <w:rPr>
      <w:rFonts w:ascii="Times New Roman" w:hAnsi="Times New Roman" w:eastAsia="宋体" w:cs="Times New Roman"/>
      <w:kern w:val="2"/>
      <w:sz w:val="21"/>
      <w:szCs w:val="20"/>
      <w:shd w:val="clear" w:color="auto" w:fill="000080"/>
    </w:rPr>
  </w:style>
  <w:style w:type="paragraph" w:styleId="8">
    <w:name w:val="annotation text"/>
    <w:basedOn w:val="1"/>
    <w:link w:val="55"/>
    <w:qFormat/>
    <w:uiPriority w:val="0"/>
    <w:pPr>
      <w:jc w:val="left"/>
    </w:pPr>
    <w:rPr>
      <w:rFonts w:ascii="Times New Roman" w:hAnsi="Times New Roman" w:eastAsia="宋体" w:cs="Times New Roman"/>
      <w:kern w:val="2"/>
      <w:sz w:val="21"/>
      <w:szCs w:val="20"/>
    </w:rPr>
  </w:style>
  <w:style w:type="paragraph" w:styleId="9">
    <w:name w:val="Body Text"/>
    <w:basedOn w:val="1"/>
    <w:next w:val="1"/>
    <w:uiPriority w:val="0"/>
    <w:pPr>
      <w:spacing w:after="120" w:afterLines="0"/>
    </w:pPr>
    <w:rPr>
      <w:rFonts w:ascii="Times New Roman" w:hAnsi="Times New Roman" w:eastAsia="宋体" w:cs="Times New Roman"/>
      <w:szCs w:val="20"/>
    </w:rPr>
  </w:style>
  <w:style w:type="paragraph" w:styleId="10">
    <w:name w:val="Body Text Indent"/>
    <w:basedOn w:val="1"/>
    <w:next w:val="1"/>
    <w:uiPriority w:val="0"/>
    <w:pPr>
      <w:spacing w:after="120" w:afterLines="0"/>
      <w:ind w:left="420" w:leftChars="200"/>
    </w:pPr>
    <w:rPr>
      <w:rFonts w:ascii="Times New Roman" w:hAnsi="Times New Roman" w:eastAsia="宋体" w:cs="Times New Roman"/>
      <w:szCs w:val="20"/>
    </w:rPr>
  </w:style>
  <w:style w:type="paragraph" w:styleId="11">
    <w:name w:val="toc 5"/>
    <w:basedOn w:val="1"/>
    <w:next w:val="1"/>
    <w:qFormat/>
    <w:uiPriority w:val="0"/>
    <w:pPr>
      <w:ind w:left="1680" w:leftChars="800"/>
    </w:pPr>
    <w:rPr>
      <w:rFonts w:ascii="Calibri" w:hAnsi="Calibri" w:eastAsia="宋体" w:cs="Times New Roman"/>
      <w:szCs w:val="22"/>
    </w:rPr>
  </w:style>
  <w:style w:type="paragraph" w:styleId="12">
    <w:name w:val="toc 3"/>
    <w:basedOn w:val="1"/>
    <w:next w:val="1"/>
    <w:qFormat/>
    <w:uiPriority w:val="0"/>
    <w:pPr>
      <w:widowControl/>
      <w:spacing w:after="100" w:afterLines="0" w:line="276" w:lineRule="auto"/>
      <w:ind w:left="440"/>
      <w:jc w:val="left"/>
    </w:pPr>
    <w:rPr>
      <w:rFonts w:ascii="Calibri" w:hAnsi="Calibri" w:eastAsia="宋体" w:cs="Times New Roman"/>
      <w:kern w:val="0"/>
      <w:sz w:val="22"/>
      <w:szCs w:val="22"/>
    </w:rPr>
  </w:style>
  <w:style w:type="paragraph" w:styleId="13">
    <w:name w:val="toc 8"/>
    <w:basedOn w:val="1"/>
    <w:next w:val="1"/>
    <w:uiPriority w:val="0"/>
    <w:pPr>
      <w:ind w:left="2940" w:leftChars="1400"/>
    </w:pPr>
    <w:rPr>
      <w:rFonts w:ascii="Calibri" w:hAnsi="Calibri" w:eastAsia="宋体" w:cs="Times New Roman"/>
      <w:szCs w:val="22"/>
    </w:rPr>
  </w:style>
  <w:style w:type="paragraph" w:styleId="14">
    <w:name w:val="Balloon Text"/>
    <w:basedOn w:val="1"/>
    <w:link w:val="56"/>
    <w:semiHidden/>
    <w:qFormat/>
    <w:uiPriority w:val="0"/>
    <w:rPr>
      <w:sz w:val="18"/>
      <w:szCs w:val="18"/>
    </w:rPr>
  </w:style>
  <w:style w:type="paragraph" w:styleId="15">
    <w:name w:val="footer"/>
    <w:basedOn w:val="1"/>
    <w:link w:val="57"/>
    <w:uiPriority w:val="0"/>
    <w:pPr>
      <w:tabs>
        <w:tab w:val="center" w:pos="4153"/>
        <w:tab w:val="right" w:pos="8306"/>
      </w:tabs>
      <w:snapToGrid w:val="0"/>
      <w:jc w:val="left"/>
    </w:pPr>
    <w:rPr>
      <w:sz w:val="18"/>
      <w:szCs w:val="18"/>
    </w:rPr>
  </w:style>
  <w:style w:type="paragraph" w:styleId="16">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iPriority w:val="0"/>
    <w:pPr>
      <w:widowControl/>
      <w:tabs>
        <w:tab w:val="right" w:leader="dot" w:pos="8296"/>
      </w:tabs>
      <w:jc w:val="left"/>
    </w:pPr>
    <w:rPr>
      <w:rFonts w:ascii="Calibri" w:hAnsi="Calibri" w:eastAsia="宋体" w:cs="Times New Roman"/>
      <w:b/>
      <w:kern w:val="0"/>
      <w:sz w:val="30"/>
      <w:szCs w:val="30"/>
    </w:rPr>
  </w:style>
  <w:style w:type="paragraph" w:styleId="18">
    <w:name w:val="toc 4"/>
    <w:basedOn w:val="1"/>
    <w:next w:val="1"/>
    <w:uiPriority w:val="0"/>
    <w:pPr>
      <w:ind w:left="1260" w:leftChars="600"/>
    </w:pPr>
    <w:rPr>
      <w:rFonts w:ascii="Calibri" w:hAnsi="Calibri" w:eastAsia="宋体" w:cs="Times New Roman"/>
      <w:szCs w:val="22"/>
    </w:rPr>
  </w:style>
  <w:style w:type="paragraph" w:styleId="19">
    <w:name w:val="toc 6"/>
    <w:basedOn w:val="1"/>
    <w:next w:val="1"/>
    <w:qFormat/>
    <w:uiPriority w:val="0"/>
    <w:pPr>
      <w:ind w:left="2100" w:leftChars="1000"/>
    </w:pPr>
    <w:rPr>
      <w:rFonts w:ascii="Calibri" w:hAnsi="Calibri" w:eastAsia="宋体" w:cs="Times New Roman"/>
      <w:szCs w:val="22"/>
    </w:rPr>
  </w:style>
  <w:style w:type="paragraph" w:styleId="20">
    <w:name w:val="toc 2"/>
    <w:basedOn w:val="1"/>
    <w:next w:val="1"/>
    <w:uiPriority w:val="0"/>
    <w:pPr>
      <w:widowControl/>
      <w:tabs>
        <w:tab w:val="right" w:leader="dot" w:pos="8296"/>
      </w:tabs>
      <w:ind w:left="221"/>
      <w:jc w:val="left"/>
    </w:pPr>
    <w:rPr>
      <w:rFonts w:ascii="Times New Roman" w:hAnsi="Times New Roman" w:eastAsia="楷体_GB2312" w:cs="Times New Roman"/>
      <w:kern w:val="0"/>
      <w:sz w:val="30"/>
      <w:szCs w:val="30"/>
    </w:rPr>
  </w:style>
  <w:style w:type="paragraph" w:styleId="21">
    <w:name w:val="toc 9"/>
    <w:basedOn w:val="1"/>
    <w:next w:val="1"/>
    <w:qFormat/>
    <w:uiPriority w:val="0"/>
    <w:pPr>
      <w:ind w:left="3360" w:leftChars="1600"/>
    </w:pPr>
    <w:rPr>
      <w:rFonts w:ascii="Calibri" w:hAnsi="Calibri" w:eastAsia="宋体" w:cs="Times New Roman"/>
      <w:szCs w:val="22"/>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0"/>
    </w:rPr>
  </w:style>
  <w:style w:type="paragraph" w:styleId="23">
    <w:name w:val="Normal (Web)"/>
    <w:basedOn w:val="1"/>
    <w:qFormat/>
    <w:uiPriority w:val="0"/>
    <w:pPr>
      <w:spacing w:before="100" w:beforeLines="0" w:beforeAutospacing="1" w:after="100" w:afterLines="0" w:afterAutospacing="1"/>
      <w:ind w:left="0" w:right="0"/>
      <w:jc w:val="left"/>
    </w:pPr>
    <w:rPr>
      <w:rFonts w:ascii="Times New Roman" w:hAnsi="Times New Roman" w:eastAsia="宋体" w:cs="Times New Roman"/>
      <w:kern w:val="0"/>
      <w:sz w:val="24"/>
      <w:szCs w:val="20"/>
      <w:lang w:val="en-US" w:eastAsia="zh-CN" w:bidi="ar"/>
    </w:rPr>
  </w:style>
  <w:style w:type="paragraph" w:styleId="24">
    <w:name w:val="Title"/>
    <w:basedOn w:val="1"/>
    <w:next w:val="1"/>
    <w:qFormat/>
    <w:uiPriority w:val="0"/>
    <w:pPr>
      <w:spacing w:before="240" w:beforeLines="0" w:after="60" w:afterLines="0"/>
      <w:jc w:val="center"/>
      <w:outlineLvl w:val="0"/>
    </w:pPr>
    <w:rPr>
      <w:rFonts w:ascii="Cambria" w:hAnsi="Cambria" w:eastAsia="宋体" w:cs="Times New Roman"/>
      <w:b/>
      <w:bCs/>
      <w:sz w:val="32"/>
      <w:szCs w:val="32"/>
    </w:rPr>
  </w:style>
  <w:style w:type="paragraph" w:styleId="25">
    <w:name w:val="annotation subject"/>
    <w:basedOn w:val="8"/>
    <w:next w:val="8"/>
    <w:link w:val="59"/>
    <w:qFormat/>
    <w:uiPriority w:val="0"/>
    <w:rPr>
      <w:b/>
      <w:bCs/>
      <w:kern w:val="2"/>
      <w:sz w:val="21"/>
    </w:rPr>
  </w:style>
  <w:style w:type="paragraph" w:styleId="26">
    <w:name w:val="Body Text First Indent 2"/>
    <w:basedOn w:val="10"/>
    <w:next w:val="1"/>
    <w:qFormat/>
    <w:uiPriority w:val="0"/>
    <w:pPr>
      <w:spacing w:after="0" w:afterLines="0" w:line="500" w:lineRule="exact"/>
      <w:ind w:left="0" w:leftChars="0" w:firstLine="420" w:firstLineChars="200"/>
    </w:pPr>
    <w:rPr>
      <w:szCs w:val="24"/>
    </w:rPr>
  </w:style>
  <w:style w:type="table" w:styleId="28">
    <w:name w:val="Table Grid"/>
    <w:basedOn w:val="27"/>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rFonts w:ascii="Times New Roman" w:hAnsi="Times New Roman" w:eastAsia="宋体" w:cs="Times New Roman"/>
      <w:b/>
      <w:bCs/>
    </w:rPr>
  </w:style>
  <w:style w:type="character" w:styleId="31">
    <w:name w:val="page number"/>
    <w:basedOn w:val="29"/>
    <w:qFormat/>
    <w:uiPriority w:val="0"/>
  </w:style>
  <w:style w:type="character" w:styleId="32">
    <w:name w:val="Hyperlink"/>
    <w:qFormat/>
    <w:uiPriority w:val="0"/>
    <w:rPr>
      <w:rFonts w:ascii="Times New Roman" w:hAnsi="Times New Roman" w:eastAsia="宋体" w:cs="Times New Roman"/>
      <w:color w:val="0000FF"/>
      <w:u w:val="single"/>
    </w:rPr>
  </w:style>
  <w:style w:type="character" w:styleId="33">
    <w:name w:val="annotation reference"/>
    <w:qFormat/>
    <w:uiPriority w:val="0"/>
    <w:rPr>
      <w:rFonts w:ascii="Times New Roman" w:hAnsi="Times New Roman" w:eastAsia="宋体" w:cs="Times New Roman"/>
      <w:sz w:val="21"/>
      <w:szCs w:val="21"/>
    </w:rPr>
  </w:style>
  <w:style w:type="paragraph" w:customStyle="1" w:styleId="34">
    <w:name w:val="黑体加粗"/>
    <w:basedOn w:val="1"/>
    <w:link w:val="60"/>
    <w:qFormat/>
    <w:uiPriority w:val="0"/>
    <w:pPr>
      <w:ind w:firstLine="643"/>
    </w:pPr>
    <w:rPr>
      <w:rFonts w:ascii="Times New Roman" w:hAnsi="仿宋" w:eastAsia="黑体" w:cs="仿宋"/>
      <w:b/>
      <w:szCs w:val="40"/>
    </w:rPr>
  </w:style>
  <w:style w:type="paragraph" w:styleId="35">
    <w:name w:val="List Paragraph"/>
    <w:basedOn w:val="1"/>
    <w:qFormat/>
    <w:uiPriority w:val="0"/>
    <w:pPr>
      <w:ind w:firstLine="420" w:firstLineChars="200"/>
    </w:pPr>
    <w:rPr>
      <w:rFonts w:ascii="Times New Roman" w:hAnsi="Times New Roman" w:eastAsia="宋体" w:cs="Times New Roman"/>
      <w:szCs w:val="20"/>
    </w:rPr>
  </w:style>
  <w:style w:type="paragraph" w:customStyle="1" w:styleId="36">
    <w:name w:val="表格"/>
    <w:basedOn w:val="1"/>
    <w:qFormat/>
    <w:uiPriority w:val="0"/>
    <w:pPr>
      <w:autoSpaceDE w:val="0"/>
      <w:autoSpaceDN w:val="0"/>
      <w:jc w:val="center"/>
    </w:pPr>
    <w:rPr>
      <w:rFonts w:ascii="楷体_GB2312" w:hAnsi="楷体_GB2312" w:eastAsia="楷体_GB2312" w:cs="Times New Roman"/>
      <w:color w:val="000000"/>
      <w:kern w:val="0"/>
      <w:sz w:val="21"/>
      <w:szCs w:val="24"/>
    </w:rPr>
  </w:style>
  <w:style w:type="paragraph" w:customStyle="1" w:styleId="37">
    <w:name w:val="BodyTextIndent"/>
    <w:basedOn w:val="1"/>
    <w:qFormat/>
    <w:uiPriority w:val="0"/>
    <w:pPr>
      <w:ind w:firstLine="720" w:firstLineChars="225"/>
      <w:textAlignment w:val="baseline"/>
    </w:pPr>
    <w:rPr>
      <w:rFonts w:ascii="Times New Roman" w:hAnsi="Times New Roman" w:eastAsia="仿宋_GB2312" w:cs="Times New Roman"/>
      <w:sz w:val="32"/>
      <w:szCs w:val="20"/>
    </w:rPr>
  </w:style>
  <w:style w:type="paragraph" w:customStyle="1" w:styleId="38">
    <w:name w:val="正文文本 21"/>
    <w:basedOn w:val="1"/>
    <w:qFormat/>
    <w:uiPriority w:val="0"/>
    <w:rPr>
      <w:rFonts w:ascii="Times New Roman" w:hAnsi="Times New Roman" w:eastAsia="仿宋_GB2312" w:cs="Times New Roman"/>
      <w:sz w:val="32"/>
      <w:szCs w:val="20"/>
    </w:rPr>
  </w:style>
  <w:style w:type="paragraph" w:customStyle="1" w:styleId="39">
    <w:name w:val="正文首行缩进 21"/>
    <w:basedOn w:val="40"/>
    <w:qFormat/>
    <w:uiPriority w:val="0"/>
    <w:pPr>
      <w:spacing w:before="100" w:beforeLines="0" w:beforeAutospacing="1" w:after="0" w:afterLines="0"/>
      <w:ind w:firstLine="420" w:firstLineChars="200"/>
    </w:pPr>
    <w:rPr>
      <w:rFonts w:ascii="Calibri" w:hAnsi="Calibri" w:eastAsia="宋体"/>
      <w:kern w:val="2"/>
      <w:sz w:val="21"/>
    </w:rPr>
  </w:style>
  <w:style w:type="paragraph" w:customStyle="1" w:styleId="40">
    <w:name w:val="正文文本缩进1"/>
    <w:basedOn w:val="1"/>
    <w:qFormat/>
    <w:uiPriority w:val="0"/>
    <w:pPr>
      <w:spacing w:after="120" w:afterLines="0"/>
      <w:ind w:left="420" w:leftChars="200"/>
    </w:pPr>
    <w:rPr>
      <w:rFonts w:ascii="Times New Roman" w:hAnsi="Times New Roman" w:eastAsia="宋体" w:cs="Times New Roman"/>
      <w:szCs w:val="20"/>
    </w:rPr>
  </w:style>
  <w:style w:type="paragraph" w:customStyle="1" w:styleId="41">
    <w:name w:val="Char Char Char Char"/>
    <w:basedOn w:val="1"/>
    <w:qFormat/>
    <w:uiPriority w:val="0"/>
    <w:rPr>
      <w:rFonts w:ascii="Times New Roman" w:hAnsi="Times New Roman" w:eastAsia="宋体" w:cs="Times New Roman"/>
      <w:szCs w:val="20"/>
    </w:rPr>
  </w:style>
  <w:style w:type="paragraph" w:customStyle="1" w:styleId="42">
    <w:name w:val="BodyText"/>
    <w:basedOn w:val="1"/>
    <w:qFormat/>
    <w:uiPriority w:val="0"/>
    <w:rPr>
      <w:rFonts w:ascii="Calibri" w:hAnsi="Calibri" w:eastAsia="宋体" w:cs="Times New Roman"/>
      <w:sz w:val="24"/>
      <w:szCs w:val="24"/>
      <w:lang w:bidi="ar-SA"/>
    </w:rPr>
  </w:style>
  <w:style w:type="paragraph" w:customStyle="1" w:styleId="43">
    <w:name w:val="PlainText"/>
    <w:basedOn w:val="1"/>
    <w:qFormat/>
    <w:uiPriority w:val="0"/>
    <w:pPr>
      <w:spacing w:line="240" w:lineRule="auto"/>
      <w:jc w:val="both"/>
      <w:textAlignment w:val="baseline"/>
    </w:pPr>
    <w:rPr>
      <w:rFonts w:ascii="宋体" w:hAnsi="Courier New" w:eastAsia="宋体" w:cs="Times New Roman"/>
      <w:kern w:val="2"/>
      <w:sz w:val="21"/>
      <w:szCs w:val="20"/>
      <w:lang w:val="en-US" w:eastAsia="zh-CN" w:bidi="ar-SA"/>
    </w:rPr>
  </w:style>
  <w:style w:type="paragraph" w:customStyle="1" w:styleId="44">
    <w:name w:val="_Style 43"/>
    <w:basedOn w:val="2"/>
    <w:next w:val="1"/>
    <w:qFormat/>
    <w:uiPriority w:val="0"/>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45">
    <w:name w:val="0正文"/>
    <w:basedOn w:val="1"/>
    <w:qFormat/>
    <w:uiPriority w:val="0"/>
    <w:pPr>
      <w:adjustRightInd w:val="0"/>
      <w:snapToGrid w:val="0"/>
      <w:spacing w:line="600" w:lineRule="exact"/>
      <w:ind w:firstLine="200" w:firstLineChars="200"/>
    </w:pPr>
    <w:rPr>
      <w:rFonts w:ascii="仿宋_GB2312" w:hAnsi="仿宋_GB2312" w:eastAsia="仿宋_GB2312" w:cs="仿宋_GB2312"/>
      <w:sz w:val="32"/>
      <w:szCs w:val="32"/>
    </w:rPr>
  </w:style>
  <w:style w:type="paragraph" w:customStyle="1" w:styleId="46">
    <w:name w:val="页脚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47">
    <w:name w:val="正文文本首行缩进 21"/>
    <w:basedOn w:val="40"/>
    <w:qFormat/>
    <w:uiPriority w:val="0"/>
    <w:pPr>
      <w:ind w:firstLine="420"/>
    </w:pPr>
  </w:style>
  <w:style w:type="paragraph" w:customStyle="1" w:styleId="48">
    <w:name w:val="Plain Text"/>
    <w:basedOn w:val="1"/>
    <w:qFormat/>
    <w:uiPriority w:val="0"/>
    <w:rPr>
      <w:rFonts w:ascii="宋体" w:hAnsi="Courier New" w:eastAsia="宋体" w:cs="Times New Roman"/>
      <w:szCs w:val="20"/>
    </w:rPr>
  </w:style>
  <w:style w:type="paragraph" w:customStyle="1" w:styleId="49">
    <w:name w:val="普通(网站)1"/>
    <w:basedOn w:val="1"/>
    <w:qFormat/>
    <w:uiPriority w:val="0"/>
    <w:pPr>
      <w:jc w:val="left"/>
    </w:pPr>
    <w:rPr>
      <w:rFonts w:ascii="Times New Roman" w:hAnsi="Times New Roman" w:eastAsia="宋体" w:cs="Times New Roman"/>
      <w:kern w:val="0"/>
      <w:sz w:val="24"/>
      <w:szCs w:val="20"/>
    </w:rPr>
  </w:style>
  <w:style w:type="paragraph" w:customStyle="1" w:styleId="50">
    <w:name w:val="BodyText1I2"/>
    <w:basedOn w:val="37"/>
    <w:qFormat/>
    <w:uiPriority w:val="0"/>
    <w:pPr>
      <w:ind w:firstLine="420" w:firstLineChars="200"/>
    </w:pPr>
  </w:style>
  <w:style w:type="character" w:customStyle="1" w:styleId="51">
    <w:name w:val="标题 1 Char Char"/>
    <w:link w:val="2"/>
    <w:qFormat/>
    <w:uiPriority w:val="0"/>
    <w:rPr>
      <w:rFonts w:ascii="Times New Roman" w:hAnsi="Times New Roman" w:eastAsia="宋体" w:cs="Times New Roman"/>
      <w:b/>
      <w:bCs/>
      <w:kern w:val="44"/>
      <w:sz w:val="44"/>
      <w:szCs w:val="44"/>
    </w:rPr>
  </w:style>
  <w:style w:type="character" w:customStyle="1" w:styleId="52">
    <w:name w:val="标题 2 Char Char"/>
    <w:link w:val="3"/>
    <w:qFormat/>
    <w:uiPriority w:val="0"/>
    <w:rPr>
      <w:rFonts w:ascii="Arial" w:hAnsi="Arial" w:eastAsia="黑体" w:cs="Times New Roman"/>
      <w:b/>
      <w:sz w:val="32"/>
    </w:rPr>
  </w:style>
  <w:style w:type="character" w:customStyle="1" w:styleId="53">
    <w:name w:val="标题 3 Char Char"/>
    <w:link w:val="4"/>
    <w:qFormat/>
    <w:uiPriority w:val="0"/>
    <w:rPr>
      <w:rFonts w:ascii="Calibri" w:hAnsi="Calibri" w:eastAsia="宋体" w:cs="Times New Roman"/>
      <w:b/>
      <w:bCs/>
      <w:kern w:val="2"/>
      <w:sz w:val="32"/>
      <w:szCs w:val="32"/>
    </w:rPr>
  </w:style>
  <w:style w:type="character" w:customStyle="1" w:styleId="54">
    <w:name w:val="文档结构图 Char Char"/>
    <w:link w:val="7"/>
    <w:qFormat/>
    <w:uiPriority w:val="0"/>
    <w:rPr>
      <w:rFonts w:ascii="Times New Roman" w:hAnsi="Times New Roman" w:eastAsia="宋体" w:cs="Times New Roman"/>
      <w:kern w:val="2"/>
      <w:sz w:val="21"/>
      <w:shd w:val="clear" w:color="auto" w:fill="000080"/>
    </w:rPr>
  </w:style>
  <w:style w:type="character" w:customStyle="1" w:styleId="55">
    <w:name w:val="批注文字 Char Char"/>
    <w:link w:val="8"/>
    <w:qFormat/>
    <w:uiPriority w:val="0"/>
    <w:rPr>
      <w:rFonts w:ascii="Times New Roman" w:hAnsi="Times New Roman" w:eastAsia="宋体" w:cs="Times New Roman"/>
      <w:kern w:val="2"/>
      <w:sz w:val="21"/>
    </w:rPr>
  </w:style>
  <w:style w:type="character" w:customStyle="1" w:styleId="56">
    <w:name w:val="批注框文本 Char Char"/>
    <w:link w:val="14"/>
    <w:qFormat/>
    <w:uiPriority w:val="0"/>
    <w:rPr>
      <w:rFonts w:ascii="Times New Roman" w:hAnsi="Times New Roman" w:eastAsia="宋体" w:cs="Times New Roman"/>
      <w:sz w:val="18"/>
      <w:szCs w:val="18"/>
    </w:rPr>
  </w:style>
  <w:style w:type="character" w:customStyle="1" w:styleId="57">
    <w:name w:val="页脚 Char Char"/>
    <w:link w:val="15"/>
    <w:qFormat/>
    <w:uiPriority w:val="0"/>
    <w:rPr>
      <w:rFonts w:ascii="Times New Roman" w:hAnsi="Times New Roman" w:eastAsia="宋体" w:cs="Times New Roman"/>
      <w:sz w:val="18"/>
      <w:szCs w:val="18"/>
    </w:rPr>
  </w:style>
  <w:style w:type="character" w:customStyle="1" w:styleId="58">
    <w:name w:val="页眉 Char Char"/>
    <w:link w:val="16"/>
    <w:qFormat/>
    <w:uiPriority w:val="0"/>
    <w:rPr>
      <w:rFonts w:ascii="Times New Roman" w:hAnsi="Times New Roman" w:eastAsia="宋体" w:cs="Times New Roman"/>
      <w:sz w:val="18"/>
      <w:szCs w:val="18"/>
    </w:rPr>
  </w:style>
  <w:style w:type="character" w:customStyle="1" w:styleId="59">
    <w:name w:val="批注主题 Char Char"/>
    <w:link w:val="25"/>
    <w:qFormat/>
    <w:uiPriority w:val="0"/>
    <w:rPr>
      <w:rFonts w:ascii="Times New Roman" w:hAnsi="Times New Roman" w:eastAsia="宋体" w:cs="Times New Roman"/>
      <w:b/>
      <w:bCs/>
      <w:kern w:val="2"/>
      <w:sz w:val="21"/>
    </w:rPr>
  </w:style>
  <w:style w:type="character" w:customStyle="1" w:styleId="60">
    <w:name w:val="黑体加粗 字符"/>
    <w:basedOn w:val="29"/>
    <w:link w:val="34"/>
    <w:qFormat/>
    <w:uiPriority w:val="0"/>
    <w:rPr>
      <w:rFonts w:ascii="Times New Roman" w:hAnsi="仿宋" w:eastAsia="黑体" w:cs="仿宋"/>
      <w:b/>
      <w:szCs w:val="40"/>
    </w:rPr>
  </w:style>
  <w:style w:type="character" w:customStyle="1" w:styleId="61">
    <w:name w:val="标题 2 字符"/>
    <w:link w:val="3"/>
    <w:qFormat/>
    <w:uiPriority w:val="0"/>
    <w:rPr>
      <w:rFonts w:ascii="Arial" w:hAnsi="Arial" w:eastAsia="黑体" w:cs="Times New Roman"/>
      <w:b/>
      <w:sz w:val="32"/>
    </w:rPr>
  </w:style>
  <w:style w:type="character" w:customStyle="1" w:styleId="62">
    <w:name w:val="页码1"/>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内蒙古政府</Company>
  <Pages>37</Pages>
  <Words>15191</Words>
  <Characters>15265</Characters>
  <Lines>1</Lines>
  <Paragraphs>1</Paragraphs>
  <TotalTime>31</TotalTime>
  <ScaleCrop>false</ScaleCrop>
  <LinksUpToDate>false</LinksUpToDate>
  <CharactersWithSpaces>15718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2013-01-16T16:09:00Z</dcterms:created>
  <dc:creator>傲琪:核稿</dc:creator>
  <cp:lastModifiedBy>宋强</cp:lastModifiedBy>
  <dcterms:modified xsi:type="dcterms:W3CDTF">2025-08-25T10:14:13Z</dcterms:modified>
  <dc:title>_x0001_</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eyJoZGlkIjoiYWUyZDZhYTc3OWQ1NjA0OWY1NmFmMzE2NjM2ZWRiMTQiLCJ1c2VySWQiOiIxNDU1OTM3NTU5In0=</vt:lpwstr>
  </property>
  <property fmtid="{D5CDD505-2E9C-101B-9397-08002B2CF9AE}" pid="4" name="ICV">
    <vt:lpwstr>47D0F0B2CB564A97925474F0F92CF129_13</vt:lpwstr>
  </property>
</Properties>
</file>