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bookmarkStart w:id="0" w:name="文号"/>
      <w:bookmarkEnd w:id="0"/>
      <w:bookmarkStart w:id="75" w:name="_GoBack"/>
    </w:p>
    <w:p>
      <w:pPr>
        <w:keepNext w:val="0"/>
        <w:keepLines w:val="0"/>
        <w:pageBreakBefore w:val="0"/>
        <w:widowControl w:val="0"/>
        <w:kinsoku/>
        <w:wordWrap/>
        <w:overflowPunct/>
        <w:topLinePunct/>
        <w:autoSpaceDE/>
        <w:autoSpaceDN/>
        <w:bidi w:val="0"/>
        <w:adjustRightInd/>
        <w:snapToGrid/>
        <w:spacing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bookmarkStart w:id="1" w:name="标题"/>
      <w:bookmarkEnd w:id="1"/>
      <w:r>
        <w:rPr>
          <w:rFonts w:hint="eastAsia" w:ascii="方正小标宋_GBK" w:hAnsi="方正小标宋_GBK" w:eastAsia="方正小标宋_GBK" w:cs="方正小标宋_GBK"/>
          <w:sz w:val="44"/>
          <w:szCs w:val="44"/>
          <w:lang w:eastAsia="zh-CN"/>
        </w:rPr>
        <w:t>内蒙古自治区人民政府办公厅关于</w:t>
      </w:r>
    </w:p>
    <w:p>
      <w:pPr>
        <w:keepNext w:val="0"/>
        <w:keepLines w:val="0"/>
        <w:pageBreakBefore w:val="0"/>
        <w:widowControl w:val="0"/>
        <w:kinsoku/>
        <w:wordWrap/>
        <w:overflowPunct/>
        <w:topLinePunct/>
        <w:autoSpaceDE/>
        <w:autoSpaceDN/>
        <w:bidi w:val="0"/>
        <w:adjustRightInd/>
        <w:snapToGrid/>
        <w:spacing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印发自治区</w:t>
      </w:r>
      <w:r>
        <w:rPr>
          <w:rFonts w:hint="eastAsia" w:ascii="方正小标宋_GBK" w:hAnsi="方正小标宋_GBK" w:eastAsia="方正小标宋_GBK" w:cs="方正小标宋_GBK"/>
          <w:sz w:val="44"/>
          <w:szCs w:val="44"/>
          <w:lang w:val="zh-CN" w:eastAsia="zh-CN"/>
        </w:rPr>
        <w:t>“十四五”市场监管规划</w:t>
      </w:r>
      <w:r>
        <w:rPr>
          <w:rFonts w:hint="eastAsia" w:ascii="方正小标宋_GBK" w:hAnsi="方正小标宋_GBK" w:eastAsia="方正小标宋_GBK" w:cs="方正小标宋_GBK"/>
          <w:sz w:val="44"/>
          <w:szCs w:val="44"/>
          <w:lang w:eastAsia="zh-CN"/>
        </w:rPr>
        <w:t>的通知</w:t>
      </w:r>
    </w:p>
    <w:p>
      <w:pPr>
        <w:pStyle w:val="2"/>
        <w:rPr>
          <w:rFonts w:hint="eastAsia"/>
          <w:lang w:eastAsia="zh-CN"/>
        </w:rPr>
      </w:pPr>
    </w:p>
    <w:p>
      <w:pPr>
        <w:pStyle w:val="2"/>
        <w:jc w:val="center"/>
        <w:rPr>
          <w:rFonts w:hint="eastAsia"/>
          <w:lang w:eastAsia="zh-CN"/>
        </w:rPr>
      </w:pPr>
      <w:r>
        <w:rPr>
          <w:rFonts w:hint="eastAsia" w:ascii="仿宋_GB2312" w:hAnsi="华文仿宋" w:eastAsia="仿宋_GB2312"/>
          <w:sz w:val="32"/>
          <w:lang w:eastAsia="zh-CN"/>
        </w:rPr>
        <w:t>内政办发〔2021〕80号</w:t>
      </w:r>
    </w:p>
    <w:p>
      <w:pPr>
        <w:keepNext w:val="0"/>
        <w:keepLines w:val="0"/>
        <w:pageBreakBefore w:val="0"/>
        <w:widowControl w:val="0"/>
        <w:kinsoku/>
        <w:wordWrap/>
        <w:overflowPunct/>
        <w:topLinePunct/>
        <w:autoSpaceDE/>
        <w:autoSpaceDN/>
        <w:bidi w:val="0"/>
        <w:adjustRightInd/>
        <w:snapToGrid/>
        <w:spacing w:line="3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autoSpaceDE/>
        <w:autoSpaceDN/>
        <w:bidi w:val="0"/>
        <w:adjustRightInd/>
        <w:snapToGrid/>
        <w:spacing w:line="360" w:lineRule="exact"/>
        <w:ind w:left="0" w:leftChars="0" w:right="0" w:rightChars="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line="36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eastAsia="zh-CN"/>
        </w:rPr>
        <w:t>经自治区人民政府同意，</w:t>
      </w:r>
      <w:r>
        <w:rPr>
          <w:rFonts w:hint="eastAsia" w:ascii="楷体" w:hAnsi="楷体" w:eastAsia="楷体" w:cs="楷体"/>
          <w:sz w:val="32"/>
          <w:szCs w:val="32"/>
        </w:rPr>
        <w:t>现将《内蒙古自治区</w:t>
      </w:r>
      <w:r>
        <w:rPr>
          <w:rFonts w:hint="eastAsia" w:ascii="楷体" w:hAnsi="楷体" w:eastAsia="楷体" w:cs="楷体"/>
          <w:sz w:val="32"/>
          <w:szCs w:val="32"/>
          <w:lang w:val="zh-CN" w:eastAsia="zh-CN"/>
        </w:rPr>
        <w:t>“十四五”市场监管规划</w:t>
      </w:r>
      <w:r>
        <w:rPr>
          <w:rFonts w:hint="eastAsia" w:ascii="楷体" w:hAnsi="楷体" w:eastAsia="楷体" w:cs="楷体"/>
          <w:sz w:val="32"/>
          <w:szCs w:val="32"/>
        </w:rPr>
        <w:t>》印发给你们，请结合实际，认真贯彻落实。</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p>
    <w:p>
      <w:pPr>
        <w:pStyle w:val="2"/>
        <w:rPr>
          <w:rFonts w:hint="eastAsia" w:ascii="楷体" w:hAnsi="楷体" w:eastAsia="楷体" w:cs="楷体"/>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2021年12月</w:t>
      </w:r>
      <w:r>
        <w:rPr>
          <w:rFonts w:hint="eastAsia" w:ascii="楷体" w:hAnsi="楷体" w:eastAsia="楷体" w:cs="楷体"/>
          <w:sz w:val="32"/>
          <w:szCs w:val="32"/>
          <w:lang w:eastAsia="zh-CN"/>
        </w:rPr>
        <w:t>2</w:t>
      </w:r>
      <w:r>
        <w:rPr>
          <w:rFonts w:hint="eastAsia" w:ascii="楷体" w:hAnsi="楷体" w:eastAsia="楷体" w:cs="楷体"/>
          <w:sz w:val="32"/>
          <w:szCs w:val="32"/>
          <w:lang w:val="en-US" w:eastAsia="zh-CN"/>
        </w:rPr>
        <w:t>日</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（此件公开发布）</w:t>
      </w:r>
    </w:p>
    <w:p>
      <w:pPr>
        <w:pStyle w:val="2"/>
        <w:rPr>
          <w:rFonts w:hint="eastAsia" w:ascii="楷体" w:hAnsi="楷体" w:eastAsia="楷体" w:cs="楷体"/>
          <w:sz w:val="32"/>
          <w:szCs w:val="32"/>
          <w:lang w:val="en-US" w:eastAsia="zh-CN"/>
        </w:rPr>
      </w:pPr>
    </w:p>
    <w:p>
      <w:pPr>
        <w:pStyle w:val="3"/>
        <w:rPr>
          <w:rFonts w:hint="eastAsia" w:ascii="楷体" w:hAnsi="楷体" w:eastAsia="楷体" w:cs="楷体"/>
          <w:sz w:val="32"/>
          <w:szCs w:val="32"/>
          <w:lang w:val="en-US" w:eastAsia="zh-CN"/>
        </w:rPr>
      </w:pPr>
    </w:p>
    <w:p>
      <w:pPr>
        <w:pStyle w:val="2"/>
        <w:rPr>
          <w:rFonts w:hint="eastAsia" w:ascii="楷体" w:hAnsi="楷体" w:eastAsia="楷体" w:cs="楷体"/>
          <w:sz w:val="32"/>
          <w:szCs w:val="32"/>
          <w:lang w:val="en-US" w:eastAsia="zh-CN"/>
        </w:rPr>
      </w:pPr>
    </w:p>
    <w:p>
      <w:pPr>
        <w:pStyle w:val="3"/>
        <w:rPr>
          <w:rFonts w:hint="eastAsia" w:ascii="楷体" w:hAnsi="楷体" w:eastAsia="楷体" w:cs="楷体"/>
          <w:sz w:val="32"/>
          <w:szCs w:val="32"/>
          <w:lang w:val="en-US" w:eastAsia="zh-CN"/>
        </w:rPr>
      </w:pPr>
    </w:p>
    <w:p>
      <w:pPr>
        <w:pStyle w:val="2"/>
        <w:rPr>
          <w:rFonts w:hint="eastAsia" w:ascii="楷体" w:hAnsi="楷体" w:eastAsia="楷体" w:cs="楷体"/>
          <w:sz w:val="32"/>
          <w:szCs w:val="32"/>
          <w:lang w:val="en-US" w:eastAsia="zh-CN"/>
        </w:rPr>
      </w:pPr>
    </w:p>
    <w:p>
      <w:pPr>
        <w:pStyle w:val="3"/>
        <w:rPr>
          <w:rFonts w:hint="eastAsia" w:ascii="楷体" w:hAnsi="楷体" w:eastAsia="楷体" w:cs="楷体"/>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lang w:val="zh-CN" w:eastAsia="zh-CN"/>
        </w:rPr>
      </w:pPr>
    </w:p>
    <w:p>
      <w:pPr>
        <w:keepNext w:val="0"/>
        <w:keepLines w:val="0"/>
        <w:pageBreakBefore w:val="0"/>
        <w:widowControl w:val="0"/>
        <w:kinsoku/>
        <w:wordWrap/>
        <w:overflowPunct/>
        <w:topLinePunct/>
        <w:autoSpaceDE/>
        <w:autoSpaceDN/>
        <w:bidi w:val="0"/>
        <w:adjustRightInd/>
        <w:snapToGrid/>
        <w:spacing w:line="58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zh-CN" w:eastAsia="zh-CN"/>
        </w:rPr>
        <w:t>内蒙古自治区“十四五”市场监管规划</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第一章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规划背景</w:t>
      </w:r>
    </w:p>
    <w:p>
      <w:pPr>
        <w:keepNext w:val="0"/>
        <w:keepLines w:val="0"/>
        <w:pageBreakBefore w:val="0"/>
        <w:widowControl w:val="0"/>
        <w:kinsoku/>
        <w:wordWrap/>
        <w:overflowPunct/>
        <w:topLinePunct/>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第一节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“十三五”时期取得</w:t>
      </w:r>
      <w:r>
        <w:rPr>
          <w:rFonts w:hint="eastAsia" w:ascii="仿宋" w:hAnsi="仿宋" w:eastAsia="仿宋" w:cs="仿宋"/>
          <w:sz w:val="32"/>
          <w:szCs w:val="32"/>
          <w:lang w:eastAsia="zh-CN"/>
        </w:rPr>
        <w:t>的</w:t>
      </w:r>
      <w:r>
        <w:rPr>
          <w:rFonts w:hint="eastAsia" w:ascii="仿宋" w:hAnsi="仿宋" w:eastAsia="仿宋" w:cs="仿宋"/>
          <w:sz w:val="32"/>
          <w:szCs w:val="32"/>
        </w:rPr>
        <w:t>成</w:t>
      </w:r>
      <w:r>
        <w:rPr>
          <w:rFonts w:hint="eastAsia" w:ascii="仿宋" w:hAnsi="仿宋" w:eastAsia="仿宋" w:cs="仿宋"/>
          <w:sz w:val="32"/>
          <w:szCs w:val="32"/>
          <w:lang w:eastAsia="zh-CN"/>
        </w:rPr>
        <w:t>就</w:t>
      </w:r>
    </w:p>
    <w:p>
      <w:pPr>
        <w:keepNext w:val="0"/>
        <w:keepLines w:val="0"/>
        <w:pageBreakBefore w:val="0"/>
        <w:widowControl w:val="0"/>
        <w:kinsoku/>
        <w:wordWrap/>
        <w:overflowPunct/>
        <w:topLinePunct/>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第二节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面临形势</w:t>
      </w:r>
    </w:p>
    <w:p>
      <w:pPr>
        <w:keepNext w:val="0"/>
        <w:keepLines w:val="0"/>
        <w:pageBreakBefore w:val="0"/>
        <w:widowControl w:val="0"/>
        <w:kinsoku/>
        <w:wordWrap/>
        <w:overflowPunct/>
        <w:topLinePunct/>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第二章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总体要求</w:t>
      </w:r>
    </w:p>
    <w:p>
      <w:pPr>
        <w:keepNext w:val="0"/>
        <w:keepLines w:val="0"/>
        <w:pageBreakBefore w:val="0"/>
        <w:widowControl w:val="0"/>
        <w:kinsoku/>
        <w:wordWrap/>
        <w:overflowPunct/>
        <w:topLinePunct/>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第一节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指导思想</w:t>
      </w:r>
    </w:p>
    <w:p>
      <w:pPr>
        <w:keepNext w:val="0"/>
        <w:keepLines w:val="0"/>
        <w:pageBreakBefore w:val="0"/>
        <w:widowControl w:val="0"/>
        <w:kinsoku/>
        <w:wordWrap/>
        <w:overflowPunct/>
        <w:topLinePunct/>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第二节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基本原则</w:t>
      </w:r>
    </w:p>
    <w:p>
      <w:pPr>
        <w:keepNext w:val="0"/>
        <w:keepLines w:val="0"/>
        <w:pageBreakBefore w:val="0"/>
        <w:widowControl w:val="0"/>
        <w:kinsoku/>
        <w:wordWrap/>
        <w:overflowPunct/>
        <w:topLinePunct/>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第三章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发展目标</w:t>
      </w:r>
    </w:p>
    <w:p>
      <w:pPr>
        <w:keepNext w:val="0"/>
        <w:keepLines w:val="0"/>
        <w:pageBreakBefore w:val="0"/>
        <w:widowControl w:val="0"/>
        <w:kinsoku/>
        <w:wordWrap/>
        <w:overflowPunct/>
        <w:topLinePunct/>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第一节  </w:t>
      </w:r>
      <w:r>
        <w:rPr>
          <w:rFonts w:hint="eastAsia" w:ascii="仿宋" w:hAnsi="仿宋" w:eastAsia="仿宋" w:cs="仿宋"/>
          <w:sz w:val="32"/>
          <w:szCs w:val="32"/>
        </w:rPr>
        <w:t>总体目标</w:t>
      </w:r>
    </w:p>
    <w:p>
      <w:pPr>
        <w:keepNext w:val="0"/>
        <w:keepLines w:val="0"/>
        <w:pageBreakBefore w:val="0"/>
        <w:widowControl w:val="0"/>
        <w:kinsoku/>
        <w:wordWrap/>
        <w:overflowPunct/>
        <w:topLinePunct/>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第二节  </w:t>
      </w:r>
      <w:r>
        <w:rPr>
          <w:rFonts w:hint="eastAsia" w:ascii="仿宋" w:hAnsi="仿宋" w:eastAsia="仿宋" w:cs="仿宋"/>
          <w:sz w:val="32"/>
          <w:szCs w:val="32"/>
        </w:rPr>
        <w:t>主要目标</w:t>
      </w:r>
    </w:p>
    <w:p>
      <w:pPr>
        <w:keepNext w:val="0"/>
        <w:keepLines w:val="0"/>
        <w:pageBreakBefore w:val="0"/>
        <w:widowControl w:val="0"/>
        <w:kinsoku/>
        <w:wordWrap/>
        <w:overflowPunct/>
        <w:topLinePunct/>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第四章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重点任务</w:t>
      </w:r>
    </w:p>
    <w:p>
      <w:pPr>
        <w:keepNext w:val="0"/>
        <w:keepLines w:val="0"/>
        <w:pageBreakBefore w:val="0"/>
        <w:widowControl w:val="0"/>
        <w:kinsoku/>
        <w:wordWrap/>
        <w:overflowPunct/>
        <w:topLinePunct/>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第一节  </w:t>
      </w:r>
      <w:r>
        <w:rPr>
          <w:rFonts w:hint="eastAsia" w:ascii="仿宋" w:hAnsi="仿宋" w:eastAsia="仿宋" w:cs="仿宋"/>
          <w:sz w:val="32"/>
          <w:szCs w:val="32"/>
        </w:rPr>
        <w:t>营造宽松便捷的市场准入环境</w:t>
      </w:r>
    </w:p>
    <w:p>
      <w:pPr>
        <w:keepNext w:val="0"/>
        <w:keepLines w:val="0"/>
        <w:pageBreakBefore w:val="0"/>
        <w:widowControl w:val="0"/>
        <w:kinsoku/>
        <w:wordWrap/>
        <w:overflowPunct/>
        <w:topLinePunct/>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第二节  </w:t>
      </w:r>
      <w:r>
        <w:rPr>
          <w:rFonts w:hint="eastAsia" w:ascii="仿宋" w:hAnsi="仿宋" w:eastAsia="仿宋" w:cs="仿宋"/>
          <w:sz w:val="32"/>
          <w:szCs w:val="32"/>
        </w:rPr>
        <w:t>营造公平有序的市场竞争环境</w:t>
      </w:r>
    </w:p>
    <w:p>
      <w:pPr>
        <w:keepNext w:val="0"/>
        <w:keepLines w:val="0"/>
        <w:pageBreakBefore w:val="0"/>
        <w:widowControl w:val="0"/>
        <w:kinsoku/>
        <w:wordWrap/>
        <w:overflowPunct/>
        <w:topLinePunct/>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第三节  </w:t>
      </w:r>
      <w:r>
        <w:rPr>
          <w:rFonts w:hint="eastAsia" w:ascii="仿宋" w:hAnsi="仿宋" w:eastAsia="仿宋" w:cs="仿宋"/>
          <w:sz w:val="32"/>
          <w:szCs w:val="32"/>
        </w:rPr>
        <w:t>打造安全放心的消费环境</w:t>
      </w:r>
    </w:p>
    <w:p>
      <w:pPr>
        <w:keepNext w:val="0"/>
        <w:keepLines w:val="0"/>
        <w:pageBreakBefore w:val="0"/>
        <w:widowControl w:val="0"/>
        <w:kinsoku/>
        <w:wordWrap/>
        <w:overflowPunct/>
        <w:topLinePunct/>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第四节  </w:t>
      </w:r>
      <w:r>
        <w:rPr>
          <w:rFonts w:hint="eastAsia" w:ascii="仿宋" w:hAnsi="仿宋" w:eastAsia="仿宋" w:cs="仿宋"/>
          <w:sz w:val="32"/>
          <w:szCs w:val="32"/>
        </w:rPr>
        <w:t>建设高标准的质量发展环境</w:t>
      </w:r>
    </w:p>
    <w:p>
      <w:pPr>
        <w:keepNext w:val="0"/>
        <w:keepLines w:val="0"/>
        <w:pageBreakBefore w:val="0"/>
        <w:widowControl w:val="0"/>
        <w:kinsoku/>
        <w:wordWrap/>
        <w:overflowPunct/>
        <w:topLinePunct/>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第五节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建立现代化的市场监管体系</w:t>
      </w:r>
    </w:p>
    <w:p>
      <w:pPr>
        <w:keepNext w:val="0"/>
        <w:keepLines w:val="0"/>
        <w:pageBreakBefore w:val="0"/>
        <w:widowControl w:val="0"/>
        <w:kinsoku/>
        <w:wordWrap/>
        <w:overflowPunct/>
        <w:topLinePunct/>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第六节  </w:t>
      </w:r>
      <w:r>
        <w:rPr>
          <w:rFonts w:hint="eastAsia" w:ascii="仿宋" w:hAnsi="仿宋" w:eastAsia="仿宋" w:cs="仿宋"/>
          <w:sz w:val="32"/>
          <w:szCs w:val="32"/>
        </w:rPr>
        <w:t>构建高效能的综合执法体系</w:t>
      </w:r>
    </w:p>
    <w:p>
      <w:pPr>
        <w:keepNext w:val="0"/>
        <w:keepLines w:val="0"/>
        <w:pageBreakBefore w:val="0"/>
        <w:widowControl w:val="0"/>
        <w:kinsoku/>
        <w:wordWrap/>
        <w:overflowPunct/>
        <w:topLinePunct/>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第七节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完善多元集成的协同共治体系</w:t>
      </w:r>
    </w:p>
    <w:p>
      <w:pPr>
        <w:keepNext w:val="0"/>
        <w:keepLines w:val="0"/>
        <w:pageBreakBefore w:val="0"/>
        <w:widowControl w:val="0"/>
        <w:kinsoku/>
        <w:wordWrap/>
        <w:overflowPunct/>
        <w:topLinePunct/>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第八节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夯实市场监管的基础支撑体系</w:t>
      </w:r>
    </w:p>
    <w:p>
      <w:pPr>
        <w:keepNext w:val="0"/>
        <w:keepLines w:val="0"/>
        <w:pageBreakBefore w:val="0"/>
        <w:widowControl w:val="0"/>
        <w:kinsoku/>
        <w:wordWrap/>
        <w:overflowPunct/>
        <w:topLinePunct/>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第</w:t>
      </w:r>
      <w:r>
        <w:rPr>
          <w:rFonts w:hint="eastAsia" w:ascii="仿宋" w:hAnsi="仿宋" w:eastAsia="仿宋" w:cs="仿宋"/>
          <w:sz w:val="32"/>
          <w:szCs w:val="32"/>
        </w:rPr>
        <w:t>五</w:t>
      </w:r>
      <w:r>
        <w:rPr>
          <w:rFonts w:hint="eastAsia" w:ascii="仿宋" w:hAnsi="仿宋" w:eastAsia="仿宋" w:cs="仿宋"/>
          <w:sz w:val="32"/>
          <w:szCs w:val="32"/>
          <w:lang w:eastAsia="zh-CN"/>
        </w:rPr>
        <w:t>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保障机制</w:t>
      </w:r>
    </w:p>
    <w:p>
      <w:pPr>
        <w:keepNext w:val="0"/>
        <w:keepLines w:val="0"/>
        <w:pageBreakBefore w:val="0"/>
        <w:widowControl w:val="0"/>
        <w:kinsoku/>
        <w:wordWrap/>
        <w:overflowPunct/>
        <w:topLinePunct/>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第一节  </w:t>
      </w:r>
      <w:r>
        <w:rPr>
          <w:rFonts w:hint="eastAsia" w:ascii="仿宋" w:hAnsi="仿宋" w:eastAsia="仿宋" w:cs="仿宋"/>
          <w:sz w:val="32"/>
          <w:szCs w:val="32"/>
        </w:rPr>
        <w:t>强化组织领导</w:t>
      </w:r>
    </w:p>
    <w:p>
      <w:pPr>
        <w:keepNext w:val="0"/>
        <w:keepLines w:val="0"/>
        <w:pageBreakBefore w:val="0"/>
        <w:widowControl w:val="0"/>
        <w:kinsoku/>
        <w:wordWrap/>
        <w:overflowPunct/>
        <w:topLinePunct/>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第二节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明确责任分工</w:t>
      </w:r>
    </w:p>
    <w:p>
      <w:pPr>
        <w:keepNext w:val="0"/>
        <w:keepLines w:val="0"/>
        <w:pageBreakBefore w:val="0"/>
        <w:widowControl w:val="0"/>
        <w:kinsoku/>
        <w:wordWrap/>
        <w:overflowPunct/>
        <w:topLinePunct/>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第三节  </w:t>
      </w:r>
      <w:r>
        <w:rPr>
          <w:rFonts w:hint="eastAsia" w:ascii="仿宋" w:hAnsi="仿宋" w:eastAsia="仿宋" w:cs="仿宋"/>
          <w:sz w:val="32"/>
          <w:szCs w:val="32"/>
        </w:rPr>
        <w:t>加强</w:t>
      </w:r>
      <w:r>
        <w:rPr>
          <w:rFonts w:hint="eastAsia" w:ascii="仿宋" w:hAnsi="仿宋" w:eastAsia="仿宋" w:cs="仿宋"/>
          <w:sz w:val="32"/>
          <w:szCs w:val="32"/>
          <w:lang w:eastAsia="zh-CN"/>
        </w:rPr>
        <w:t>规划</w:t>
      </w:r>
      <w:r>
        <w:rPr>
          <w:rFonts w:hint="eastAsia" w:ascii="仿宋" w:hAnsi="仿宋" w:eastAsia="仿宋" w:cs="仿宋"/>
          <w:sz w:val="32"/>
          <w:szCs w:val="32"/>
        </w:rPr>
        <w:t>评估</w:t>
      </w:r>
    </w:p>
    <w:p>
      <w:pPr>
        <w:keepNext w:val="0"/>
        <w:keepLines w:val="0"/>
        <w:pageBreakBefore w:val="0"/>
        <w:widowControl w:val="0"/>
        <w:kinsoku/>
        <w:wordWrap/>
        <w:overflowPunct/>
        <w:topLinePunct/>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十四五”时期是我国全面建成小康社会、实现第一个百年奋斗目标之后，乘势而上开启全面建设社会主义现代化国家新征程、向第二个百年奋斗目标进军的第一个五年，是内蒙古走以生态优先、绿色发展为导向的高质量发展新路子，实现新的更大发展的关键时期，做好市场监管工作意义重大。根据《内蒙古自治区国民经济和社会发展第十四个五年规划和2035年远景目标纲要》</w:t>
      </w:r>
      <w:r>
        <w:rPr>
          <w:rFonts w:hint="eastAsia" w:ascii="仿宋" w:hAnsi="仿宋" w:eastAsia="仿宋" w:cs="仿宋"/>
          <w:sz w:val="32"/>
          <w:szCs w:val="32"/>
          <w:lang w:eastAsia="zh-CN"/>
        </w:rPr>
        <w:t>，</w:t>
      </w:r>
      <w:r>
        <w:rPr>
          <w:rFonts w:hint="eastAsia" w:ascii="仿宋" w:hAnsi="仿宋" w:eastAsia="仿宋" w:cs="仿宋"/>
          <w:sz w:val="32"/>
          <w:szCs w:val="32"/>
        </w:rPr>
        <w:t>制定本规划。</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cs="黑体"/>
          <w:sz w:val="32"/>
          <w:szCs w:val="32"/>
          <w:lang w:val="zh-CN"/>
        </w:rPr>
      </w:pPr>
      <w:bookmarkStart w:id="2" w:name="_Toc29474"/>
      <w:r>
        <w:rPr>
          <w:rFonts w:hint="eastAsia" w:ascii="黑体" w:hAnsi="黑体" w:eastAsia="黑体" w:cs="黑体"/>
          <w:sz w:val="32"/>
          <w:szCs w:val="32"/>
          <w:lang w:val="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规划背景</w:t>
      </w:r>
      <w:bookmarkEnd w:id="2"/>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sz w:val="32"/>
          <w:szCs w:val="32"/>
          <w:lang w:val="zh-CN"/>
        </w:rPr>
      </w:pPr>
      <w:r>
        <w:rPr>
          <w:rFonts w:hint="eastAsia" w:ascii="楷体" w:hAnsi="楷体" w:eastAsia="楷体" w:cs="楷体"/>
          <w:sz w:val="32"/>
          <w:szCs w:val="32"/>
          <w:lang w:val="zh-CN" w:eastAsia="zh-CN"/>
        </w:rPr>
        <w:t>第一节</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val="zh-CN"/>
        </w:rPr>
        <w:t>“十三五”时期取得</w:t>
      </w:r>
      <w:r>
        <w:rPr>
          <w:rFonts w:hint="eastAsia" w:ascii="楷体" w:hAnsi="楷体" w:eastAsia="楷体" w:cs="楷体"/>
          <w:sz w:val="32"/>
          <w:szCs w:val="32"/>
          <w:lang w:val="zh-CN" w:eastAsia="zh-CN"/>
        </w:rPr>
        <w:t>的</w:t>
      </w:r>
      <w:r>
        <w:rPr>
          <w:rFonts w:hint="eastAsia" w:ascii="楷体" w:hAnsi="楷体" w:eastAsia="楷体" w:cs="楷体"/>
          <w:sz w:val="32"/>
          <w:szCs w:val="32"/>
          <w:lang w:val="zh-CN"/>
        </w:rPr>
        <w:t>成</w:t>
      </w:r>
      <w:r>
        <w:rPr>
          <w:rFonts w:hint="eastAsia" w:ascii="楷体" w:hAnsi="楷体" w:eastAsia="楷体" w:cs="楷体"/>
          <w:sz w:val="32"/>
          <w:szCs w:val="32"/>
          <w:lang w:val="zh-CN" w:eastAsia="zh-CN"/>
        </w:rPr>
        <w:t>就</w:t>
      </w:r>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“十三五”时期是全区市场监管</w:t>
      </w:r>
      <w:r>
        <w:rPr>
          <w:rFonts w:hint="eastAsia" w:ascii="仿宋" w:hAnsi="仿宋" w:eastAsia="仿宋" w:cs="仿宋"/>
          <w:sz w:val="32"/>
          <w:szCs w:val="32"/>
          <w:lang w:eastAsia="zh-CN"/>
        </w:rPr>
        <w:t>系统</w:t>
      </w:r>
      <w:r>
        <w:rPr>
          <w:rFonts w:hint="eastAsia" w:ascii="仿宋" w:hAnsi="仿宋" w:eastAsia="仿宋" w:cs="仿宋"/>
          <w:sz w:val="32"/>
          <w:szCs w:val="32"/>
        </w:rPr>
        <w:t>体制改革期、效能提升期。全区市场监管系统在自治区党委</w:t>
      </w:r>
      <w:r>
        <w:rPr>
          <w:rFonts w:hint="eastAsia" w:ascii="仿宋" w:hAnsi="仿宋" w:eastAsia="仿宋" w:cs="仿宋"/>
          <w:sz w:val="32"/>
          <w:szCs w:val="32"/>
          <w:lang w:eastAsia="zh-CN"/>
        </w:rPr>
        <w:t>和</w:t>
      </w:r>
      <w:r>
        <w:rPr>
          <w:rFonts w:hint="eastAsia" w:ascii="仿宋" w:hAnsi="仿宋" w:eastAsia="仿宋" w:cs="仿宋"/>
          <w:sz w:val="32"/>
          <w:szCs w:val="32"/>
        </w:rPr>
        <w:t>政府的领导下，在</w:t>
      </w:r>
      <w:r>
        <w:rPr>
          <w:rFonts w:hint="eastAsia" w:ascii="仿宋" w:hAnsi="仿宋" w:eastAsia="仿宋" w:cs="仿宋"/>
          <w:sz w:val="32"/>
          <w:szCs w:val="32"/>
          <w:lang w:eastAsia="zh-CN"/>
        </w:rPr>
        <w:t>国家</w:t>
      </w:r>
      <w:r>
        <w:rPr>
          <w:rFonts w:hint="eastAsia" w:ascii="仿宋" w:hAnsi="仿宋" w:eastAsia="仿宋" w:cs="仿宋"/>
          <w:sz w:val="32"/>
          <w:szCs w:val="32"/>
        </w:rPr>
        <w:t>市场监管总局的</w:t>
      </w:r>
      <w:r>
        <w:rPr>
          <w:rFonts w:hint="eastAsia" w:ascii="仿宋" w:hAnsi="仿宋" w:eastAsia="仿宋" w:cs="仿宋"/>
          <w:sz w:val="32"/>
          <w:szCs w:val="32"/>
          <w:lang w:eastAsia="zh-CN"/>
        </w:rPr>
        <w:t>有力</w:t>
      </w:r>
      <w:r>
        <w:rPr>
          <w:rFonts w:hint="eastAsia" w:ascii="仿宋" w:hAnsi="仿宋" w:eastAsia="仿宋" w:cs="仿宋"/>
          <w:sz w:val="32"/>
          <w:szCs w:val="32"/>
        </w:rPr>
        <w:t>指导下，</w:t>
      </w:r>
      <w:r>
        <w:rPr>
          <w:rFonts w:hint="eastAsia" w:ascii="仿宋" w:hAnsi="仿宋" w:eastAsia="仿宋" w:cs="仿宋"/>
          <w:sz w:val="32"/>
          <w:szCs w:val="32"/>
          <w:lang w:eastAsia="zh-CN"/>
        </w:rPr>
        <w:t>不断</w:t>
      </w:r>
      <w:r>
        <w:rPr>
          <w:rFonts w:hint="eastAsia" w:ascii="仿宋" w:hAnsi="仿宋" w:eastAsia="仿宋" w:cs="仿宋"/>
          <w:sz w:val="32"/>
          <w:szCs w:val="32"/>
        </w:rPr>
        <w:t>加强市场监管工作，市场监管体制改革任务基本完成，“放管服”改革</w:t>
      </w:r>
      <w:r>
        <w:rPr>
          <w:rFonts w:hint="eastAsia" w:ascii="仿宋" w:hAnsi="仿宋" w:eastAsia="仿宋" w:cs="仿宋"/>
          <w:sz w:val="32"/>
          <w:szCs w:val="32"/>
          <w:lang w:eastAsia="zh-CN"/>
        </w:rPr>
        <w:t>不断深化</w:t>
      </w:r>
      <w:r>
        <w:rPr>
          <w:rFonts w:hint="eastAsia" w:ascii="仿宋" w:hAnsi="仿宋" w:eastAsia="仿宋" w:cs="仿宋"/>
          <w:sz w:val="32"/>
          <w:szCs w:val="32"/>
        </w:rPr>
        <w:t>，市场监管制度创新成效逐步显现，服务全区经济社会发展的作用进一步凸显。</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黑体" w:hAnsi="黑体" w:eastAsia="黑体" w:cs="黑体"/>
          <w:sz w:val="32"/>
          <w:szCs w:val="32"/>
        </w:rPr>
        <w:t>——</w:t>
      </w:r>
      <w:r>
        <w:rPr>
          <w:rFonts w:hint="eastAsia" w:ascii="仿宋" w:hAnsi="仿宋" w:eastAsia="仿宋" w:cs="仿宋"/>
          <w:sz w:val="32"/>
          <w:szCs w:val="32"/>
        </w:rPr>
        <w:t>市场监管新体制基本建立。市场监管体制实现历史性变革，完成市场监管领域综合执法改革，实现部门分权设置向整体性设置转变，职能配置由分段、分事项监管向统一监管转变，监管方式由传统手段向信息化、智能化转变，基本实现一类事项由一个部门统筹、一件事情由一个部门负责，市场监管机构设置更加科学、职能更加优化、权责更加协同、监管更加有力、运行更加高效。</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黑体" w:hAnsi="黑体" w:eastAsia="黑体" w:cs="黑体"/>
          <w:sz w:val="32"/>
          <w:szCs w:val="32"/>
        </w:rPr>
        <w:t>——</w:t>
      </w:r>
      <w:r>
        <w:rPr>
          <w:rFonts w:hint="eastAsia" w:ascii="仿宋" w:hAnsi="仿宋" w:eastAsia="仿宋" w:cs="仿宋"/>
          <w:sz w:val="32"/>
          <w:szCs w:val="32"/>
          <w:lang w:eastAsia="zh-CN"/>
        </w:rPr>
        <w:t>新型</w:t>
      </w:r>
      <w:r>
        <w:rPr>
          <w:rFonts w:hint="eastAsia" w:ascii="仿宋" w:hAnsi="仿宋" w:eastAsia="仿宋" w:cs="仿宋"/>
          <w:sz w:val="32"/>
          <w:szCs w:val="32"/>
        </w:rPr>
        <w:t>市场监管机制基本建立。厘清政府和市场的关系，简政放权深入推进，以清单管理模式厘清行政执法职责边界，大幅减少不必要的监管执法事项。推进大数据、互联网、信息技术与监管业务的进一步融合，建立涉企信息统一归集公示及联合惩戒机制，提高了信用风险预测预警和动态监测能力。以“双随机、一公开”</w:t>
      </w:r>
      <w:r>
        <w:rPr>
          <w:rFonts w:hint="eastAsia" w:ascii="仿宋" w:hAnsi="仿宋" w:eastAsia="仿宋" w:cs="仿宋"/>
          <w:sz w:val="32"/>
          <w:szCs w:val="32"/>
          <w:lang w:eastAsia="zh-CN"/>
        </w:rPr>
        <w:t>监管和“互联网</w:t>
      </w:r>
      <w:r>
        <w:rPr>
          <w:rFonts w:hint="eastAsia" w:ascii="仿宋" w:hAnsi="仿宋" w:eastAsia="仿宋" w:cs="仿宋"/>
          <w:sz w:val="32"/>
          <w:szCs w:val="32"/>
          <w:lang w:val="en-US" w:eastAsia="zh-CN"/>
        </w:rPr>
        <w:t>+监管</w:t>
      </w:r>
      <w:r>
        <w:rPr>
          <w:rFonts w:hint="eastAsia" w:ascii="仿宋" w:hAnsi="仿宋" w:eastAsia="仿宋" w:cs="仿宋"/>
          <w:sz w:val="32"/>
          <w:szCs w:val="32"/>
          <w:lang w:eastAsia="zh-CN"/>
        </w:rPr>
        <w:t>”</w:t>
      </w:r>
      <w:r>
        <w:rPr>
          <w:rFonts w:hint="eastAsia" w:ascii="仿宋" w:hAnsi="仿宋" w:eastAsia="仿宋" w:cs="仿宋"/>
          <w:sz w:val="32"/>
          <w:szCs w:val="32"/>
        </w:rPr>
        <w:t>为基本手段、以重点监管为补充、以信用监管为基础的新型监管机制初步建立。企业自治、行业自律、社会监督、政府监管的共治格局</w:t>
      </w:r>
      <w:r>
        <w:rPr>
          <w:rFonts w:hint="eastAsia" w:ascii="仿宋" w:hAnsi="仿宋" w:eastAsia="仿宋" w:cs="仿宋"/>
          <w:sz w:val="32"/>
          <w:szCs w:val="32"/>
          <w:lang w:eastAsia="zh-CN"/>
        </w:rPr>
        <w:t>正在</w:t>
      </w:r>
      <w:r>
        <w:rPr>
          <w:rFonts w:hint="eastAsia" w:ascii="仿宋" w:hAnsi="仿宋" w:eastAsia="仿宋" w:cs="仿宋"/>
          <w:sz w:val="32"/>
          <w:szCs w:val="32"/>
        </w:rPr>
        <w:t>形成。全面落实行政执法“三项制度”，依法行政的法治基础进一步夯实。</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w:t>
      </w:r>
      <w:r>
        <w:rPr>
          <w:rFonts w:hint="eastAsia" w:ascii="仿宋" w:hAnsi="仿宋" w:eastAsia="仿宋" w:cs="仿宋"/>
          <w:sz w:val="32"/>
          <w:szCs w:val="32"/>
        </w:rPr>
        <w:t>市场安全监管基础性制度基本建立。食品药品安全全过程监管体系</w:t>
      </w:r>
      <w:r>
        <w:rPr>
          <w:rFonts w:hint="eastAsia" w:ascii="仿宋" w:hAnsi="仿宋" w:eastAsia="仿宋" w:cs="仿宋"/>
          <w:sz w:val="32"/>
          <w:szCs w:val="32"/>
          <w:lang w:eastAsia="zh-CN"/>
        </w:rPr>
        <w:t>基本形成</w:t>
      </w:r>
      <w:r>
        <w:rPr>
          <w:rFonts w:hint="eastAsia" w:ascii="仿宋" w:hAnsi="仿宋" w:eastAsia="仿宋" w:cs="仿宋"/>
          <w:sz w:val="32"/>
          <w:szCs w:val="32"/>
        </w:rPr>
        <w:t>，食品药品检验检测能力不断提高，食品抽检合格率达到98%以上，药品抽检合格率达到97.4%以上，人民群众饮食用药安全得到保障。持续推进食品生产经营企业落实主体责任，建立了生产经营企业负责人培训全覆盖机制，督促企业完成风险点自查，落实企业风险管控责任</w:t>
      </w:r>
      <w:r>
        <w:rPr>
          <w:rFonts w:hint="eastAsia" w:ascii="仿宋" w:hAnsi="仿宋" w:eastAsia="仿宋" w:cs="仿宋"/>
          <w:sz w:val="32"/>
          <w:szCs w:val="32"/>
          <w:lang w:eastAsia="zh-CN"/>
        </w:rPr>
        <w:t>。</w:t>
      </w:r>
      <w:r>
        <w:rPr>
          <w:rFonts w:hint="eastAsia" w:ascii="仿宋" w:hAnsi="仿宋" w:eastAsia="仿宋" w:cs="仿宋"/>
          <w:sz w:val="32"/>
          <w:szCs w:val="32"/>
        </w:rPr>
        <w:t>建成覆盖全区市场监管高风险领域的风险管控系统，全面落实企业主体责任和各级市场监管部门监管责任。</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w:t>
      </w:r>
      <w:r>
        <w:rPr>
          <w:rFonts w:hint="eastAsia" w:ascii="仿宋" w:hAnsi="仿宋" w:eastAsia="仿宋" w:cs="仿宋"/>
          <w:sz w:val="32"/>
          <w:szCs w:val="32"/>
        </w:rPr>
        <w:t>营商环境更加优化。</w:t>
      </w:r>
      <w:r>
        <w:rPr>
          <w:rFonts w:hint="eastAsia" w:ascii="仿宋" w:hAnsi="仿宋" w:eastAsia="仿宋" w:cs="仿宋"/>
          <w:sz w:val="32"/>
          <w:szCs w:val="32"/>
          <w:lang w:eastAsia="zh-CN"/>
        </w:rPr>
        <w:t>深化商事制度改革，实施“多证合一”“一照一码”、住所（经营场所）、简易注销、“证照分离”、外资企业单一窗口办理等登记制度改革。</w:t>
      </w:r>
      <w:r>
        <w:rPr>
          <w:rFonts w:hint="eastAsia" w:ascii="仿宋" w:hAnsi="仿宋" w:eastAsia="仿宋" w:cs="仿宋"/>
          <w:sz w:val="32"/>
          <w:szCs w:val="32"/>
        </w:rPr>
        <w:t>推行全程电子化登记和电子营业执照，全面实行名称自主申报，推进“政银合作”，将办照服务延伸到银行网点。建设企业开办“一网通”服务平台，不断提升登记注册便利化水平，将企业开办时间进一步压缩至3个工作日；市场监管</w:t>
      </w:r>
      <w:r>
        <w:rPr>
          <w:rFonts w:hint="eastAsia" w:ascii="仿宋" w:hAnsi="仿宋" w:eastAsia="仿宋" w:cs="仿宋"/>
          <w:sz w:val="32"/>
          <w:szCs w:val="32"/>
          <w:lang w:eastAsia="zh-CN"/>
        </w:rPr>
        <w:t>系统</w:t>
      </w:r>
      <w:r>
        <w:rPr>
          <w:rFonts w:hint="eastAsia" w:ascii="仿宋" w:hAnsi="仿宋" w:eastAsia="仿宋" w:cs="仿宋"/>
          <w:sz w:val="32"/>
          <w:szCs w:val="32"/>
        </w:rPr>
        <w:t>首批17项政务服务事项实现“跨省通办”</w:t>
      </w:r>
      <w:r>
        <w:rPr>
          <w:rFonts w:hint="eastAsia" w:ascii="仿宋" w:hAnsi="仿宋" w:eastAsia="仿宋" w:cs="仿宋"/>
          <w:sz w:val="32"/>
          <w:szCs w:val="32"/>
          <w:lang w:eastAsia="zh-CN"/>
        </w:rPr>
        <w:t>。</w:t>
      </w:r>
      <w:r>
        <w:rPr>
          <w:rFonts w:hint="eastAsia" w:ascii="仿宋" w:hAnsi="仿宋" w:eastAsia="仿宋" w:cs="仿宋"/>
          <w:sz w:val="32"/>
          <w:szCs w:val="32"/>
        </w:rPr>
        <w:t>“十三五”期间，全区新</w:t>
      </w:r>
      <w:r>
        <w:rPr>
          <w:rFonts w:hint="eastAsia" w:ascii="仿宋" w:hAnsi="仿宋" w:eastAsia="仿宋" w:cs="仿宋"/>
          <w:sz w:val="32"/>
          <w:szCs w:val="32"/>
          <w:lang w:eastAsia="zh-CN"/>
        </w:rPr>
        <w:t>登记</w:t>
      </w:r>
      <w:r>
        <w:rPr>
          <w:rFonts w:hint="eastAsia" w:ascii="仿宋" w:hAnsi="仿宋" w:eastAsia="仿宋" w:cs="仿宋"/>
          <w:sz w:val="32"/>
          <w:szCs w:val="32"/>
        </w:rPr>
        <w:t>各类市场主体121.82万户</w:t>
      </w:r>
      <w:r>
        <w:rPr>
          <w:rFonts w:hint="eastAsia" w:ascii="仿宋" w:hAnsi="仿宋" w:eastAsia="仿宋" w:cs="仿宋"/>
          <w:sz w:val="32"/>
          <w:szCs w:val="32"/>
          <w:lang w:eastAsia="zh-CN"/>
        </w:rPr>
        <w:t>，总量达到</w:t>
      </w:r>
      <w:r>
        <w:rPr>
          <w:rFonts w:hint="eastAsia" w:ascii="仿宋" w:hAnsi="仿宋" w:eastAsia="仿宋" w:cs="仿宋"/>
          <w:sz w:val="32"/>
          <w:szCs w:val="32"/>
          <w:lang w:val="en-US" w:eastAsia="zh-CN"/>
        </w:rPr>
        <w:t>226.50万户</w:t>
      </w:r>
      <w:r>
        <w:rPr>
          <w:rFonts w:hint="eastAsia" w:ascii="仿宋" w:hAnsi="仿宋" w:eastAsia="仿宋" w:cs="仿宋"/>
          <w:sz w:val="32"/>
          <w:szCs w:val="32"/>
        </w:rPr>
        <w:t>。开通企业注销“一网通”服务平台，将简易注销公告时间由45天压至20天。完善“双随机、一公开”监管机制，开展部门</w:t>
      </w:r>
      <w:r>
        <w:rPr>
          <w:rFonts w:hint="eastAsia" w:ascii="仿宋" w:hAnsi="仿宋" w:eastAsia="仿宋" w:cs="仿宋"/>
          <w:sz w:val="32"/>
          <w:szCs w:val="32"/>
          <w:lang w:eastAsia="zh-CN"/>
        </w:rPr>
        <w:t>联合</w:t>
      </w:r>
      <w:r>
        <w:rPr>
          <w:rFonts w:hint="eastAsia" w:ascii="仿宋" w:hAnsi="仿宋" w:eastAsia="仿宋" w:cs="仿宋"/>
          <w:sz w:val="32"/>
          <w:szCs w:val="32"/>
        </w:rPr>
        <w:t>双随机抽查；深入开展打击侵犯知识产权和</w:t>
      </w:r>
      <w:r>
        <w:rPr>
          <w:rFonts w:hint="eastAsia" w:ascii="仿宋" w:hAnsi="仿宋" w:eastAsia="仿宋" w:cs="仿宋"/>
          <w:sz w:val="32"/>
          <w:szCs w:val="32"/>
          <w:lang w:eastAsia="zh-CN"/>
        </w:rPr>
        <w:t>制售</w:t>
      </w:r>
      <w:r>
        <w:rPr>
          <w:rFonts w:hint="eastAsia" w:ascii="仿宋" w:hAnsi="仿宋" w:eastAsia="仿宋" w:cs="仿宋"/>
          <w:sz w:val="32"/>
          <w:szCs w:val="32"/>
        </w:rPr>
        <w:t>假冒伪劣行为，市场环境进一步净化。</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w:t>
      </w:r>
      <w:r>
        <w:rPr>
          <w:rFonts w:hint="eastAsia" w:ascii="仿宋" w:hAnsi="仿宋" w:eastAsia="仿宋" w:cs="仿宋"/>
          <w:sz w:val="32"/>
          <w:szCs w:val="32"/>
        </w:rPr>
        <w:t>竞争环境更趋公平。竞争政策基础性地位不断巩固，印发《内蒙古自治区人民政府关于在市场体系建设中建立公平竞争审查制度的实施意见》</w:t>
      </w:r>
      <w:r>
        <w:rPr>
          <w:rFonts w:hint="eastAsia" w:ascii="仿宋" w:hAnsi="仿宋" w:eastAsia="仿宋" w:cs="仿宋"/>
          <w:sz w:val="32"/>
          <w:szCs w:val="32"/>
          <w:lang w:eastAsia="zh-CN"/>
        </w:rPr>
        <w:t>（内政发〔</w:t>
      </w:r>
      <w:r>
        <w:rPr>
          <w:rFonts w:hint="eastAsia" w:ascii="仿宋" w:hAnsi="仿宋" w:eastAsia="仿宋" w:cs="仿宋"/>
          <w:sz w:val="32"/>
          <w:szCs w:val="32"/>
          <w:lang w:val="en-US" w:eastAsia="zh-CN"/>
        </w:rPr>
        <w:t>2017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15号</w:t>
      </w:r>
      <w:r>
        <w:rPr>
          <w:rFonts w:hint="eastAsia" w:ascii="仿宋" w:hAnsi="仿宋" w:eastAsia="仿宋" w:cs="仿宋"/>
          <w:sz w:val="32"/>
          <w:szCs w:val="32"/>
          <w:lang w:eastAsia="zh-CN"/>
        </w:rPr>
        <w:t>）</w:t>
      </w:r>
      <w:r>
        <w:rPr>
          <w:rFonts w:hint="eastAsia" w:ascii="仿宋" w:hAnsi="仿宋" w:eastAsia="仿宋" w:cs="仿宋"/>
          <w:sz w:val="32"/>
          <w:szCs w:val="32"/>
        </w:rPr>
        <w:t>，实现公平竞争审查制度自治区、盟市、旗县</w:t>
      </w:r>
      <w:r>
        <w:rPr>
          <w:rFonts w:hint="eastAsia" w:ascii="仿宋" w:hAnsi="仿宋" w:eastAsia="仿宋" w:cs="仿宋"/>
          <w:sz w:val="32"/>
          <w:szCs w:val="32"/>
          <w:lang w:eastAsia="zh-CN"/>
        </w:rPr>
        <w:t>（市、区）</w:t>
      </w:r>
      <w:r>
        <w:rPr>
          <w:rFonts w:hint="eastAsia" w:ascii="仿宋" w:hAnsi="仿宋" w:eastAsia="仿宋" w:cs="仿宋"/>
          <w:sz w:val="32"/>
          <w:szCs w:val="32"/>
        </w:rPr>
        <w:t>三级政府全覆盖。开展口岸进出口环节、银行、教育和电力等领域价格检查。加大反垄断和反不正当竞争执法、网络监管、广告执法、打击传销和规范直销力度，开展保健食品行业专项整治，查办了一批典型案件，市场秩序稳步向好。</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w:t>
      </w:r>
      <w:r>
        <w:rPr>
          <w:rFonts w:hint="eastAsia" w:ascii="仿宋" w:hAnsi="仿宋" w:eastAsia="仿宋" w:cs="仿宋"/>
          <w:sz w:val="32"/>
          <w:szCs w:val="32"/>
        </w:rPr>
        <w:t>消费环境不断改善。畅通消费投诉渠道，整合投诉举报热线，实行“五线合一、一线受理”；大力推进“放心消费在内蒙古”创建活动，培育一批放心消费示范企业、示范商圈、示范餐饮、示范景区等示范点；开展“3·15”国际消费者权益日系列活动，消费者理性消费</w:t>
      </w:r>
      <w:r>
        <w:rPr>
          <w:rFonts w:hint="eastAsia" w:ascii="仿宋" w:hAnsi="仿宋" w:eastAsia="仿宋" w:cs="仿宋"/>
          <w:sz w:val="32"/>
          <w:szCs w:val="32"/>
          <w:lang w:eastAsia="zh-CN"/>
        </w:rPr>
        <w:t>理念提升</w:t>
      </w:r>
      <w:r>
        <w:rPr>
          <w:rFonts w:hint="eastAsia" w:ascii="仿宋" w:hAnsi="仿宋" w:eastAsia="仿宋" w:cs="仿宋"/>
          <w:sz w:val="32"/>
          <w:szCs w:val="32"/>
        </w:rPr>
        <w:t>，强化消费维权行政保护工作，持续开展“衣食住行”领域专项整治，查处一批侵犯消费者合法权益案件，营造</w:t>
      </w:r>
      <w:r>
        <w:rPr>
          <w:rFonts w:hint="eastAsia" w:ascii="仿宋" w:hAnsi="仿宋" w:eastAsia="仿宋" w:cs="仿宋"/>
          <w:sz w:val="32"/>
          <w:szCs w:val="32"/>
          <w:lang w:eastAsia="zh-CN"/>
        </w:rPr>
        <w:t>了</w:t>
      </w:r>
      <w:r>
        <w:rPr>
          <w:rFonts w:hint="eastAsia" w:ascii="仿宋" w:hAnsi="仿宋" w:eastAsia="仿宋" w:cs="仿宋"/>
          <w:sz w:val="32"/>
          <w:szCs w:val="32"/>
        </w:rPr>
        <w:t>良好的消费环境。</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rPr>
        <w:t>——</w:t>
      </w:r>
      <w:r>
        <w:rPr>
          <w:rFonts w:hint="eastAsia" w:ascii="仿宋" w:hAnsi="仿宋" w:eastAsia="仿宋" w:cs="仿宋"/>
          <w:sz w:val="32"/>
          <w:szCs w:val="32"/>
        </w:rPr>
        <w:t>质量强区建设成效显著。产品、工程和服务质量</w:t>
      </w:r>
      <w:r>
        <w:rPr>
          <w:rFonts w:hint="eastAsia" w:ascii="仿宋" w:hAnsi="仿宋" w:eastAsia="仿宋" w:cs="仿宋"/>
          <w:sz w:val="32"/>
          <w:szCs w:val="32"/>
          <w:lang w:val="en-US" w:eastAsia="zh-CN"/>
        </w:rPr>
        <w:t>稳步提升，产品质量统计调查合格率达到96.16％，制造业产品生产、流通领域监督抽查合格率分别为96.9%、94.85%，制造业竞争力指数从81.09提升到81.55，农畜产品监测合格率达到98%，</w:t>
      </w:r>
      <w:r>
        <w:rPr>
          <w:rFonts w:hint="eastAsia" w:ascii="仿宋" w:hAnsi="仿宋" w:eastAsia="仿宋" w:cs="仿宋"/>
          <w:sz w:val="32"/>
          <w:szCs w:val="32"/>
        </w:rPr>
        <w:t>种子等</w:t>
      </w:r>
      <w:r>
        <w:rPr>
          <w:rFonts w:hint="eastAsia" w:ascii="仿宋" w:hAnsi="仿宋" w:eastAsia="仿宋" w:cs="仿宋"/>
          <w:sz w:val="32"/>
          <w:szCs w:val="32"/>
          <w:lang w:val="en-US" w:eastAsia="zh-CN"/>
        </w:rPr>
        <w:t>5类农牧业投入品监督抽查合格率达到94.4%；建设工程质量一次验收合格率100%；公共服务质量满意度达81.41分，处于满意水平。</w:t>
      </w:r>
      <w:r>
        <w:rPr>
          <w:rFonts w:hint="eastAsia" w:ascii="仿宋" w:hAnsi="仿宋" w:eastAsia="仿宋" w:cs="仿宋"/>
          <w:sz w:val="32"/>
          <w:szCs w:val="32"/>
        </w:rPr>
        <w:t>质量发展机制更加完善，质量发展环境持续改善，质量发展能力显著提升，企业质量主体责任得到有效落实，质量监督管理水平不断提高，省级政府质量工作考核由C级上升为B级。品牌建设取得新成效，截至“十三五”末，</w:t>
      </w:r>
      <w:r>
        <w:rPr>
          <w:rFonts w:hint="eastAsia" w:ascii="仿宋" w:hAnsi="仿宋" w:eastAsia="仿宋" w:cs="仿宋"/>
          <w:sz w:val="32"/>
          <w:szCs w:val="32"/>
          <w:lang w:val="en-US" w:eastAsia="zh-CN"/>
        </w:rPr>
        <w:t>拥有地理标志产品28件，地理标志商标167件，位列全国第12位，蒙草集团、伊利集团获得中国质量提名奖，</w:t>
      </w:r>
      <w:r>
        <w:rPr>
          <w:rFonts w:hint="eastAsia" w:ascii="仿宋" w:hAnsi="仿宋" w:eastAsia="仿宋" w:cs="仿宋"/>
          <w:sz w:val="32"/>
          <w:szCs w:val="32"/>
        </w:rPr>
        <w:t>金海伊利、蒙草生态被</w:t>
      </w:r>
      <w:r>
        <w:rPr>
          <w:rFonts w:hint="eastAsia" w:ascii="仿宋" w:hAnsi="仿宋" w:eastAsia="仿宋" w:cs="仿宋"/>
          <w:sz w:val="32"/>
          <w:szCs w:val="32"/>
          <w:lang w:eastAsia="zh-CN"/>
        </w:rPr>
        <w:t>工业和信息化</w:t>
      </w:r>
      <w:r>
        <w:rPr>
          <w:rFonts w:hint="eastAsia" w:ascii="仿宋" w:hAnsi="仿宋" w:eastAsia="仿宋" w:cs="仿宋"/>
          <w:sz w:val="32"/>
          <w:szCs w:val="32"/>
        </w:rPr>
        <w:t>部评为“全国质量标杆”。创新实施标准化提升、服务百家企业高质量发展、“蒙”字标认证打造内蒙古品牌、推动</w:t>
      </w:r>
      <w:r>
        <w:rPr>
          <w:rFonts w:hint="eastAsia" w:ascii="仿宋" w:hAnsi="仿宋" w:eastAsia="仿宋" w:cs="仿宋"/>
          <w:sz w:val="32"/>
          <w:szCs w:val="32"/>
          <w:lang w:eastAsia="zh-CN"/>
        </w:rPr>
        <w:t>地方特色乳制品</w:t>
      </w:r>
      <w:r>
        <w:rPr>
          <w:rFonts w:hint="eastAsia" w:ascii="仿宋" w:hAnsi="仿宋" w:eastAsia="仿宋" w:cs="仿宋"/>
          <w:sz w:val="32"/>
          <w:szCs w:val="32"/>
        </w:rPr>
        <w:t>产业发展“四大行动”，</w:t>
      </w:r>
      <w:r>
        <w:rPr>
          <w:rFonts w:hint="eastAsia" w:ascii="仿宋" w:hAnsi="仿宋" w:eastAsia="仿宋" w:cs="仿宋"/>
          <w:sz w:val="32"/>
          <w:szCs w:val="32"/>
          <w:lang w:val="en-US" w:eastAsia="zh-CN"/>
        </w:rPr>
        <w:t>服务大局能力显著提升。质量基础不断夯实，建立了锡林郭勒羊肉等31大类自治区特色产业标准体系，主导或参与制修订国际标准10项、国家标准1075项，包头市成功创建全国“标准国际化创新型城市”。</w:t>
      </w:r>
      <w:bookmarkStart w:id="3" w:name="_Toc21868"/>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sz w:val="32"/>
          <w:szCs w:val="32"/>
          <w:lang w:val="zh-CN" w:eastAsia="zh-CN"/>
        </w:rPr>
      </w:pPr>
      <w:r>
        <w:rPr>
          <w:rFonts w:hint="eastAsia" w:ascii="楷体" w:hAnsi="楷体" w:eastAsia="楷体" w:cs="楷体"/>
          <w:sz w:val="32"/>
          <w:szCs w:val="32"/>
          <w:lang w:val="en-US" w:eastAsia="zh-CN"/>
        </w:rPr>
        <w:t xml:space="preserve">第二节  </w:t>
      </w:r>
      <w:r>
        <w:rPr>
          <w:rFonts w:hint="eastAsia" w:ascii="楷体" w:hAnsi="楷体" w:eastAsia="楷体" w:cs="楷体"/>
          <w:sz w:val="32"/>
          <w:szCs w:val="32"/>
          <w:lang w:val="zh-CN" w:eastAsia="zh-CN"/>
        </w:rPr>
        <w:t>面临形势</w:t>
      </w:r>
      <w:bookmarkEnd w:id="3"/>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党的十九大提出，全面实施市场准入负面清单制度，清理废除妨碍统一市场和公平竞争的各种规定和做法；深化商事制度改革，打破行政垄断，防止市场垄断；完善市场监管体制，深化简政放权，创新监管方式。中央经济工作会议要求，强化竞争政策的基础性地位，优化和完善技术、环保、质量、安全等标准，完善产权制度和市场退出制度，创造公平竞争的制度环境，产业政策要逐步由差异化、选择性转向普惠化、功能性。</w:t>
      </w:r>
      <w:r>
        <w:rPr>
          <w:rFonts w:hint="eastAsia" w:ascii="仿宋" w:hAnsi="仿宋" w:eastAsia="仿宋" w:cs="仿宋"/>
          <w:sz w:val="32"/>
          <w:szCs w:val="32"/>
          <w:lang w:eastAsia="zh-CN"/>
        </w:rPr>
        <w:t>《中共中央关于制定国民经济和社会发展第十四个五年规划和二〇三五年远景目标的建议》提出，要</w:t>
      </w:r>
      <w:r>
        <w:rPr>
          <w:rFonts w:hint="eastAsia" w:ascii="仿宋" w:hAnsi="仿宋" w:eastAsia="仿宋" w:cs="仿宋"/>
          <w:sz w:val="32"/>
          <w:szCs w:val="32"/>
          <w:lang w:val="en-US" w:eastAsia="zh-CN"/>
        </w:rPr>
        <w:t>充分发挥市场在资源配置中的决定性作用，更好发挥政府作用，推动有效市场和有为政府更好结合；要</w:t>
      </w:r>
      <w:r>
        <w:rPr>
          <w:rFonts w:hint="eastAsia" w:ascii="仿宋" w:hAnsi="仿宋" w:eastAsia="仿宋" w:cs="仿宋"/>
          <w:sz w:val="32"/>
          <w:szCs w:val="32"/>
          <w:lang w:eastAsia="zh-CN"/>
        </w:rPr>
        <w:t>持续优化市场化法治化国际化营商环境，</w:t>
      </w:r>
      <w:r>
        <w:rPr>
          <w:rFonts w:hint="eastAsia" w:ascii="仿宋" w:hAnsi="仿宋" w:eastAsia="仿宋" w:cs="仿宋"/>
          <w:sz w:val="32"/>
          <w:szCs w:val="32"/>
          <w:lang w:val="en-US" w:eastAsia="zh-CN"/>
        </w:rPr>
        <w:t>健全市场体系基础制度，坚持平等准入、公正监管、开放有序、诚信守法，形成高效、规范、公平竞争的国内统一市场；要毫不动摇巩固和发展公有制经济，毫不动摇鼓励、支持、引导非公有制经济发展，激发各类市场主体活力。《内蒙古自治区国民经济和社会发展第十四个五年规划和2035年远景目标纲要》明确，未来较长时期，我区必须把握新发展阶段、贯彻新发展理念、服务和融入新发展格局，坚定不移走以生态优先、绿色发展为导向的高质量发展新路子，牢牢立足</w:t>
      </w:r>
      <w:r>
        <w:rPr>
          <w:rFonts w:hint="eastAsia" w:ascii="仿宋" w:hAnsi="仿宋" w:eastAsia="仿宋" w:cs="仿宋"/>
          <w:sz w:val="32"/>
          <w:szCs w:val="32"/>
        </w:rPr>
        <w:t>“两个屏障”“两个基地”和“一个桥头堡”的战略定位，</w:t>
      </w:r>
      <w:r>
        <w:rPr>
          <w:rFonts w:hint="eastAsia" w:ascii="仿宋" w:hAnsi="仿宋" w:eastAsia="仿宋" w:cs="仿宋"/>
          <w:sz w:val="32"/>
          <w:szCs w:val="32"/>
          <w:lang w:eastAsia="zh-CN"/>
        </w:rPr>
        <w:t>加快建设现代化经济体系，</w:t>
      </w:r>
      <w:r>
        <w:rPr>
          <w:rFonts w:hint="eastAsia" w:ascii="仿宋" w:hAnsi="仿宋" w:eastAsia="仿宋" w:cs="仿宋"/>
          <w:sz w:val="32"/>
          <w:szCs w:val="32"/>
        </w:rPr>
        <w:t>服务</w:t>
      </w:r>
      <w:r>
        <w:rPr>
          <w:rFonts w:hint="eastAsia" w:ascii="仿宋" w:hAnsi="仿宋" w:eastAsia="仿宋" w:cs="仿宋"/>
          <w:sz w:val="32"/>
          <w:szCs w:val="32"/>
          <w:lang w:eastAsia="zh-CN"/>
        </w:rPr>
        <w:t>和</w:t>
      </w:r>
      <w:r>
        <w:rPr>
          <w:rFonts w:hint="eastAsia" w:ascii="仿宋" w:hAnsi="仿宋" w:eastAsia="仿宋" w:cs="仿宋"/>
          <w:sz w:val="32"/>
          <w:szCs w:val="32"/>
        </w:rPr>
        <w:t>融入新发展格局</w:t>
      </w:r>
      <w:r>
        <w:rPr>
          <w:rFonts w:hint="eastAsia" w:ascii="仿宋" w:hAnsi="仿宋" w:eastAsia="仿宋" w:cs="仿宋"/>
          <w:sz w:val="32"/>
          <w:szCs w:val="32"/>
          <w:lang w:eastAsia="zh-CN"/>
        </w:rPr>
        <w:t>。</w:t>
      </w:r>
      <w:r>
        <w:rPr>
          <w:rFonts w:hint="eastAsia" w:ascii="仿宋" w:hAnsi="仿宋" w:eastAsia="仿宋" w:cs="仿宋"/>
          <w:sz w:val="32"/>
          <w:szCs w:val="32"/>
        </w:rPr>
        <w:t>从全区情况看，</w:t>
      </w:r>
      <w:r>
        <w:rPr>
          <w:rFonts w:hint="eastAsia" w:ascii="仿宋" w:hAnsi="仿宋" w:eastAsia="仿宋" w:cs="仿宋"/>
          <w:sz w:val="32"/>
          <w:szCs w:val="32"/>
          <w:lang w:eastAsia="zh-CN"/>
        </w:rPr>
        <w:t>市场监管的</w:t>
      </w:r>
      <w:r>
        <w:rPr>
          <w:rFonts w:hint="eastAsia" w:ascii="仿宋" w:hAnsi="仿宋" w:eastAsia="仿宋" w:cs="仿宋"/>
          <w:sz w:val="32"/>
          <w:szCs w:val="32"/>
        </w:rPr>
        <w:t>基层基础还比较薄弱，队伍专业素质不强，监管效能有待提升；检验检测能力不能满足经济社会发展需要；市场监管中的高科技应用水平还较低，特别是大数据和人工智能技术在监管中的应用还有很大空间；商事制度改革、优化营商环境等工作还有薄弱环节；</w:t>
      </w:r>
      <w:r>
        <w:rPr>
          <w:rFonts w:hint="eastAsia" w:ascii="仿宋" w:hAnsi="仿宋" w:eastAsia="仿宋" w:cs="仿宋"/>
          <w:sz w:val="32"/>
          <w:szCs w:val="32"/>
          <w:lang w:val="en-US" w:eastAsia="zh-CN"/>
        </w:rPr>
        <w:t>质量管理水平不高，质量基础设施不够扎实；</w:t>
      </w:r>
      <w:r>
        <w:rPr>
          <w:rFonts w:hint="eastAsia" w:ascii="仿宋" w:hAnsi="仿宋" w:eastAsia="仿宋" w:cs="仿宋"/>
          <w:sz w:val="32"/>
          <w:szCs w:val="32"/>
        </w:rPr>
        <w:t>法治还不够健全，有法不依、执法不严的现象仍然存在等等，这些问题影响市场监管效能提升，与构建新发展格局和促进高质量发展不相适应。</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cs="黑体"/>
          <w:sz w:val="32"/>
          <w:szCs w:val="32"/>
          <w:lang w:val="zh-CN" w:eastAsia="zh-CN"/>
        </w:rPr>
      </w:pPr>
      <w:bookmarkStart w:id="4" w:name="_Toc13969"/>
      <w:r>
        <w:rPr>
          <w:rFonts w:hint="eastAsia" w:ascii="黑体" w:hAnsi="黑体" w:eastAsia="黑体" w:cs="黑体"/>
          <w:sz w:val="32"/>
          <w:szCs w:val="32"/>
          <w:lang w:val="zh-CN"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总体要求</w:t>
      </w:r>
      <w:bookmarkEnd w:id="4"/>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sz w:val="32"/>
          <w:szCs w:val="32"/>
          <w:lang w:val="zh-CN" w:eastAsia="zh-CN"/>
        </w:rPr>
      </w:pPr>
      <w:bookmarkStart w:id="5" w:name="_Toc11891"/>
      <w:r>
        <w:rPr>
          <w:rFonts w:hint="eastAsia" w:ascii="楷体" w:hAnsi="楷体" w:eastAsia="楷体" w:cs="楷体"/>
          <w:sz w:val="32"/>
          <w:szCs w:val="32"/>
          <w:lang w:val="zh-CN" w:eastAsia="zh-CN"/>
        </w:rPr>
        <w:t>第一节</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val="zh-CN" w:eastAsia="zh-CN"/>
        </w:rPr>
        <w:t>指导思想</w:t>
      </w:r>
      <w:bookmarkEnd w:id="5"/>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高举中国特色社会主义伟大旗帜，</w:t>
      </w:r>
      <w:r>
        <w:rPr>
          <w:rFonts w:hint="eastAsia" w:ascii="仿宋" w:hAnsi="仿宋" w:eastAsia="仿宋" w:cs="仿宋"/>
          <w:sz w:val="32"/>
          <w:szCs w:val="32"/>
        </w:rPr>
        <w:t>坚持以习近平新时代中国特色社会主义思想为指导，认真贯彻落实党的十九大</w:t>
      </w:r>
      <w:r>
        <w:rPr>
          <w:rFonts w:hint="eastAsia" w:ascii="仿宋" w:hAnsi="仿宋" w:eastAsia="仿宋" w:cs="仿宋"/>
          <w:sz w:val="32"/>
          <w:szCs w:val="32"/>
          <w:lang w:eastAsia="zh-CN"/>
        </w:rPr>
        <w:t>和</w:t>
      </w:r>
      <w:r>
        <w:rPr>
          <w:rFonts w:hint="eastAsia" w:ascii="仿宋" w:hAnsi="仿宋" w:eastAsia="仿宋" w:cs="仿宋"/>
          <w:sz w:val="32"/>
          <w:szCs w:val="32"/>
        </w:rPr>
        <w:t>十九届二中、三中、四中、五中</w:t>
      </w:r>
      <w:r>
        <w:rPr>
          <w:rFonts w:hint="eastAsia" w:ascii="仿宋" w:hAnsi="仿宋" w:eastAsia="仿宋" w:cs="仿宋"/>
          <w:sz w:val="32"/>
          <w:szCs w:val="32"/>
          <w:lang w:eastAsia="zh-CN"/>
        </w:rPr>
        <w:t>、六中</w:t>
      </w:r>
      <w:r>
        <w:rPr>
          <w:rFonts w:hint="eastAsia" w:ascii="仿宋" w:hAnsi="仿宋" w:eastAsia="仿宋" w:cs="仿宋"/>
          <w:sz w:val="32"/>
          <w:szCs w:val="32"/>
        </w:rPr>
        <w:t>全会精神，坚持以人民为中心的发展思想，坚持问题导向，立足“两个屏障”“两个基地”和“一个桥头堡”的战略定位，铸牢中华民族共同体意识，着力强化商事制度改革，着力维护市场公平竞争秩序，着力构建高标准市场监管体系，全力推进质量强区战略，不断满足人民群众日益增长的美好生活需要，为实现更高质量、更有效率、更加公平、更可持续、更为安全的发展提供</w:t>
      </w:r>
      <w:r>
        <w:rPr>
          <w:rFonts w:hint="eastAsia" w:ascii="仿宋" w:hAnsi="仿宋" w:eastAsia="仿宋" w:cs="仿宋"/>
          <w:sz w:val="32"/>
          <w:szCs w:val="32"/>
          <w:lang w:eastAsia="zh-CN"/>
        </w:rPr>
        <w:t>便捷高效、公平竞争、稳定透明、规范有序</w:t>
      </w:r>
      <w:r>
        <w:rPr>
          <w:rFonts w:hint="eastAsia" w:ascii="仿宋" w:hAnsi="仿宋" w:eastAsia="仿宋" w:cs="仿宋"/>
          <w:sz w:val="32"/>
          <w:szCs w:val="32"/>
        </w:rPr>
        <w:t>的环境。</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sz w:val="32"/>
          <w:szCs w:val="32"/>
          <w:lang w:val="zh-CN" w:eastAsia="zh-CN"/>
        </w:rPr>
      </w:pPr>
      <w:bookmarkStart w:id="6" w:name="_Toc143"/>
      <w:r>
        <w:rPr>
          <w:rFonts w:hint="eastAsia" w:ascii="楷体" w:hAnsi="楷体" w:eastAsia="楷体" w:cs="楷体"/>
          <w:sz w:val="32"/>
          <w:szCs w:val="32"/>
          <w:lang w:val="zh-CN" w:eastAsia="zh-CN"/>
        </w:rPr>
        <w:t>第二节</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val="zh-CN" w:eastAsia="zh-CN"/>
        </w:rPr>
        <w:t>基本原则</w:t>
      </w:r>
      <w:bookmarkEnd w:id="6"/>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w:t>
      </w:r>
      <w:r>
        <w:rPr>
          <w:rFonts w:hint="eastAsia" w:ascii="仿宋" w:hAnsi="仿宋" w:eastAsia="仿宋" w:cs="仿宋"/>
          <w:sz w:val="32"/>
          <w:szCs w:val="32"/>
        </w:rPr>
        <w:t>坚持党的全面领导。把加强党的全面领导贯穿市场监管各方面和全过程，增强“四个意识”、坚定“四个自信”、做到“两个维护”，不断提</w:t>
      </w:r>
      <w:r>
        <w:rPr>
          <w:rFonts w:hint="eastAsia" w:ascii="仿宋" w:hAnsi="仿宋" w:eastAsia="仿宋" w:cs="仿宋"/>
          <w:sz w:val="32"/>
          <w:szCs w:val="32"/>
          <w:lang w:eastAsia="zh-CN"/>
        </w:rPr>
        <w:t>高</w:t>
      </w:r>
      <w:r>
        <w:rPr>
          <w:rFonts w:hint="eastAsia" w:ascii="仿宋" w:hAnsi="仿宋" w:eastAsia="仿宋" w:cs="仿宋"/>
          <w:sz w:val="32"/>
          <w:szCs w:val="32"/>
        </w:rPr>
        <w:t>政治判断力、政治领悟力、政治执行力，加快完善与新发展阶段相适应的市场监管体系，确保党中央、国务院决策部署</w:t>
      </w:r>
      <w:r>
        <w:rPr>
          <w:rFonts w:hint="eastAsia" w:ascii="仿宋" w:hAnsi="仿宋" w:eastAsia="仿宋" w:cs="仿宋"/>
          <w:sz w:val="32"/>
          <w:szCs w:val="32"/>
          <w:lang w:eastAsia="zh-CN"/>
        </w:rPr>
        <w:t>及</w:t>
      </w:r>
      <w:r>
        <w:rPr>
          <w:rFonts w:hint="eastAsia" w:ascii="仿宋" w:hAnsi="仿宋" w:eastAsia="仿宋" w:cs="仿宋"/>
          <w:sz w:val="32"/>
          <w:szCs w:val="32"/>
        </w:rPr>
        <w:t>自治区党委</w:t>
      </w:r>
      <w:r>
        <w:rPr>
          <w:rFonts w:hint="eastAsia" w:ascii="仿宋" w:hAnsi="仿宋" w:eastAsia="仿宋" w:cs="仿宋"/>
          <w:sz w:val="32"/>
          <w:szCs w:val="32"/>
          <w:lang w:eastAsia="zh-CN"/>
        </w:rPr>
        <w:t>和</w:t>
      </w:r>
      <w:r>
        <w:rPr>
          <w:rFonts w:hint="eastAsia" w:ascii="仿宋" w:hAnsi="仿宋" w:eastAsia="仿宋" w:cs="仿宋"/>
          <w:sz w:val="32"/>
          <w:szCs w:val="32"/>
        </w:rPr>
        <w:t>政府</w:t>
      </w:r>
      <w:r>
        <w:rPr>
          <w:rFonts w:hint="eastAsia" w:ascii="仿宋" w:hAnsi="仿宋" w:eastAsia="仿宋" w:cs="仿宋"/>
          <w:sz w:val="32"/>
          <w:szCs w:val="32"/>
          <w:lang w:eastAsia="zh-CN"/>
        </w:rPr>
        <w:t>工作要求</w:t>
      </w:r>
      <w:r>
        <w:rPr>
          <w:rFonts w:hint="eastAsia" w:ascii="仿宋" w:hAnsi="仿宋" w:eastAsia="仿宋" w:cs="仿宋"/>
          <w:sz w:val="32"/>
          <w:szCs w:val="32"/>
        </w:rPr>
        <w:t>落实</w:t>
      </w:r>
      <w:r>
        <w:rPr>
          <w:rFonts w:hint="eastAsia" w:ascii="仿宋" w:hAnsi="仿宋" w:eastAsia="仿宋" w:cs="仿宋"/>
          <w:sz w:val="32"/>
          <w:szCs w:val="32"/>
          <w:lang w:eastAsia="zh-CN"/>
        </w:rPr>
        <w:t>到位</w:t>
      </w:r>
      <w:r>
        <w:rPr>
          <w:rFonts w:hint="eastAsia" w:ascii="仿宋" w:hAnsi="仿宋" w:eastAsia="仿宋" w:cs="仿宋"/>
          <w:sz w:val="32"/>
          <w:szCs w:val="32"/>
        </w:rPr>
        <w:t>。</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w:t>
      </w:r>
      <w:r>
        <w:rPr>
          <w:rFonts w:hint="eastAsia" w:ascii="仿宋" w:hAnsi="仿宋" w:eastAsia="仿宋" w:cs="仿宋"/>
          <w:sz w:val="32"/>
          <w:szCs w:val="32"/>
        </w:rPr>
        <w:t>坚持人民至上。坚持把维护广大人民群众的</w:t>
      </w:r>
      <w:r>
        <w:rPr>
          <w:rFonts w:hint="eastAsia" w:ascii="仿宋" w:hAnsi="仿宋" w:eastAsia="仿宋" w:cs="仿宋"/>
          <w:sz w:val="32"/>
          <w:szCs w:val="32"/>
          <w:lang w:eastAsia="zh-CN"/>
        </w:rPr>
        <w:t>根本</w:t>
      </w:r>
      <w:r>
        <w:rPr>
          <w:rFonts w:hint="eastAsia" w:ascii="仿宋" w:hAnsi="仿宋" w:eastAsia="仿宋" w:cs="仿宋"/>
          <w:sz w:val="32"/>
          <w:szCs w:val="32"/>
        </w:rPr>
        <w:t>利益作为市场监管</w:t>
      </w:r>
      <w:r>
        <w:rPr>
          <w:rFonts w:hint="eastAsia" w:ascii="仿宋" w:hAnsi="仿宋" w:eastAsia="仿宋" w:cs="仿宋"/>
          <w:sz w:val="32"/>
          <w:szCs w:val="32"/>
          <w:lang w:eastAsia="zh-CN"/>
        </w:rPr>
        <w:t>工作</w:t>
      </w:r>
      <w:r>
        <w:rPr>
          <w:rFonts w:hint="eastAsia" w:ascii="仿宋" w:hAnsi="仿宋" w:eastAsia="仿宋" w:cs="仿宋"/>
          <w:sz w:val="32"/>
          <w:szCs w:val="32"/>
        </w:rPr>
        <w:t>的出发点和落脚点，在法规规章制定、监管制度设计上体现人民利益至上，在监管执法的内容上重点打击侵害人民群众利益的违法行为，在监管效果的评价上以人民群众满不满意为标准，不断满足人民群众对美好生活的需要。</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w:t>
      </w:r>
      <w:r>
        <w:rPr>
          <w:rFonts w:hint="eastAsia" w:ascii="仿宋" w:hAnsi="仿宋" w:eastAsia="仿宋" w:cs="仿宋"/>
          <w:sz w:val="32"/>
          <w:szCs w:val="32"/>
        </w:rPr>
        <w:t>坚持守住</w:t>
      </w:r>
      <w:r>
        <w:rPr>
          <w:rFonts w:hint="eastAsia" w:ascii="仿宋" w:hAnsi="仿宋" w:eastAsia="仿宋" w:cs="仿宋"/>
          <w:sz w:val="32"/>
          <w:szCs w:val="32"/>
          <w:lang w:eastAsia="zh-CN"/>
        </w:rPr>
        <w:t>安全</w:t>
      </w:r>
      <w:r>
        <w:rPr>
          <w:rFonts w:hint="eastAsia" w:ascii="仿宋" w:hAnsi="仿宋" w:eastAsia="仿宋" w:cs="仿宋"/>
          <w:sz w:val="32"/>
          <w:szCs w:val="32"/>
        </w:rPr>
        <w:t>底线。认真落实习近平总书记</w:t>
      </w:r>
      <w:r>
        <w:rPr>
          <w:rFonts w:hint="eastAsia" w:ascii="仿宋" w:hAnsi="仿宋" w:eastAsia="仿宋" w:cs="仿宋"/>
          <w:sz w:val="32"/>
          <w:szCs w:val="32"/>
          <w:lang w:eastAsia="zh-CN"/>
        </w:rPr>
        <w:t>提出的</w:t>
      </w:r>
      <w:r>
        <w:rPr>
          <w:rFonts w:hint="eastAsia" w:ascii="仿宋" w:hAnsi="仿宋" w:eastAsia="仿宋" w:cs="仿宋"/>
          <w:sz w:val="32"/>
          <w:szCs w:val="32"/>
        </w:rPr>
        <w:t>“四个最严”要求，</w:t>
      </w:r>
      <w:r>
        <w:rPr>
          <w:rFonts w:hint="eastAsia" w:ascii="仿宋" w:hAnsi="仿宋" w:eastAsia="仿宋" w:cs="仿宋"/>
          <w:sz w:val="32"/>
          <w:szCs w:val="32"/>
          <w:lang w:eastAsia="zh-CN"/>
        </w:rPr>
        <w:t>坚持</w:t>
      </w:r>
      <w:r>
        <w:rPr>
          <w:rFonts w:hint="eastAsia" w:ascii="仿宋" w:hAnsi="仿宋" w:eastAsia="仿宋" w:cs="仿宋"/>
          <w:sz w:val="32"/>
          <w:szCs w:val="32"/>
        </w:rPr>
        <w:t>源头严防、过程严</w:t>
      </w:r>
      <w:r>
        <w:rPr>
          <w:rFonts w:hint="eastAsia" w:ascii="仿宋" w:hAnsi="仿宋" w:eastAsia="仿宋" w:cs="仿宋"/>
          <w:sz w:val="32"/>
          <w:szCs w:val="32"/>
          <w:lang w:eastAsia="zh-CN"/>
        </w:rPr>
        <w:t>管</w:t>
      </w:r>
      <w:r>
        <w:rPr>
          <w:rFonts w:hint="eastAsia" w:ascii="仿宋" w:hAnsi="仿宋" w:eastAsia="仿宋" w:cs="仿宋"/>
          <w:sz w:val="32"/>
          <w:szCs w:val="32"/>
        </w:rPr>
        <w:t>、风险严控，持续抓好“风险点责任链”管控体系建设，确保人民群众买得放心、用得放心、吃得放心。</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w:t>
      </w:r>
      <w:r>
        <w:rPr>
          <w:rFonts w:hint="eastAsia" w:ascii="仿宋" w:hAnsi="仿宋" w:eastAsia="仿宋" w:cs="仿宋"/>
          <w:sz w:val="32"/>
          <w:szCs w:val="32"/>
        </w:rPr>
        <w:t>坚持服务</w:t>
      </w:r>
      <w:r>
        <w:rPr>
          <w:rFonts w:hint="eastAsia" w:ascii="仿宋" w:hAnsi="仿宋" w:eastAsia="仿宋" w:cs="仿宋"/>
          <w:sz w:val="32"/>
          <w:szCs w:val="32"/>
          <w:lang w:eastAsia="zh-CN"/>
        </w:rPr>
        <w:t>发展大</w:t>
      </w:r>
      <w:r>
        <w:rPr>
          <w:rFonts w:hint="eastAsia" w:ascii="仿宋" w:hAnsi="仿宋" w:eastAsia="仿宋" w:cs="仿宋"/>
          <w:sz w:val="32"/>
          <w:szCs w:val="32"/>
        </w:rPr>
        <w:t>局。增强战略意识，强化全局观念，更加自觉地把市场监管工作放到全区经济社会发展全局中去谋划和把握。围绕高质量发展，</w:t>
      </w:r>
      <w:r>
        <w:rPr>
          <w:rFonts w:hint="eastAsia" w:ascii="仿宋" w:hAnsi="仿宋" w:eastAsia="仿宋" w:cs="仿宋"/>
          <w:sz w:val="32"/>
          <w:szCs w:val="32"/>
          <w:lang w:eastAsia="zh-CN"/>
        </w:rPr>
        <w:t>着力实施质量强区战略，进一步提升产品、工程和服务质量；</w:t>
      </w:r>
      <w:r>
        <w:rPr>
          <w:rFonts w:hint="eastAsia" w:ascii="仿宋" w:hAnsi="仿宋" w:eastAsia="仿宋" w:cs="仿宋"/>
          <w:sz w:val="32"/>
          <w:szCs w:val="32"/>
        </w:rPr>
        <w:t>围绕创新驱动发展，着力推进知识产权强区建设，进一步增强优势产业核心竞争力；围绕优化营商环境，着力深化“放管服”改革，进一步营造公平竞争的制度环境；围</w:t>
      </w:r>
      <w:r>
        <w:rPr>
          <w:rFonts w:hint="eastAsia" w:ascii="仿宋" w:hAnsi="仿宋" w:eastAsia="仿宋" w:cs="仿宋"/>
          <w:spacing w:val="6"/>
          <w:sz w:val="32"/>
          <w:szCs w:val="32"/>
        </w:rPr>
        <w:t>绕形成</w:t>
      </w:r>
      <w:r>
        <w:rPr>
          <w:rFonts w:hint="eastAsia" w:ascii="仿宋" w:hAnsi="仿宋" w:eastAsia="仿宋" w:cs="仿宋"/>
          <w:spacing w:val="6"/>
          <w:sz w:val="32"/>
          <w:szCs w:val="32"/>
          <w:lang w:eastAsia="zh-CN"/>
        </w:rPr>
        <w:t>统一开放、竞争有序的</w:t>
      </w:r>
      <w:r>
        <w:rPr>
          <w:rFonts w:hint="eastAsia" w:ascii="仿宋" w:hAnsi="仿宋" w:eastAsia="仿宋" w:cs="仿宋"/>
          <w:spacing w:val="6"/>
          <w:sz w:val="32"/>
          <w:szCs w:val="32"/>
        </w:rPr>
        <w:t>国内</w:t>
      </w:r>
      <w:r>
        <w:rPr>
          <w:rFonts w:hint="eastAsia" w:ascii="仿宋" w:hAnsi="仿宋" w:eastAsia="仿宋" w:cs="仿宋"/>
          <w:spacing w:val="6"/>
          <w:sz w:val="32"/>
          <w:szCs w:val="32"/>
          <w:lang w:eastAsia="zh-CN"/>
        </w:rPr>
        <w:t>大</w:t>
      </w:r>
      <w:r>
        <w:rPr>
          <w:rFonts w:hint="eastAsia" w:ascii="仿宋" w:hAnsi="仿宋" w:eastAsia="仿宋" w:cs="仿宋"/>
          <w:spacing w:val="6"/>
          <w:sz w:val="32"/>
          <w:szCs w:val="32"/>
        </w:rPr>
        <w:t>市场，着力改善消费环境，进一步释放消费潜力；围绕全方位对外开放，对标对表国际规则，加强与国际规则的接轨和融合，进一步提升市场主体的国际竞争力。</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w:t>
      </w:r>
      <w:r>
        <w:rPr>
          <w:rFonts w:hint="eastAsia" w:ascii="仿宋" w:hAnsi="仿宋" w:eastAsia="仿宋" w:cs="仿宋"/>
          <w:sz w:val="32"/>
          <w:szCs w:val="32"/>
        </w:rPr>
        <w:t>坚持系统观念。统筹产品和服务、线上和线下、国内市场和国际市场，综合运用市场、行政、法律、技术、信用等手段，发挥政府、社会组织、企业和个体的作用，强化部门协同监管，多措并举、综合施策，用好政策“工具箱”，打好服务“组合拳”，形成系统监管、共治共管格局。</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w:t>
      </w:r>
      <w:r>
        <w:rPr>
          <w:rFonts w:hint="eastAsia" w:ascii="仿宋" w:hAnsi="仿宋" w:eastAsia="仿宋" w:cs="仿宋"/>
          <w:sz w:val="32"/>
          <w:szCs w:val="32"/>
        </w:rPr>
        <w:t>坚持依法监管。强化法治思维，严格依据法定程序、权限、职责办事，按照“谁审批谁</w:t>
      </w:r>
      <w:r>
        <w:rPr>
          <w:rFonts w:hint="eastAsia" w:ascii="仿宋" w:hAnsi="仿宋" w:eastAsia="仿宋" w:cs="仿宋"/>
          <w:sz w:val="32"/>
          <w:szCs w:val="32"/>
          <w:lang w:eastAsia="zh-CN"/>
        </w:rPr>
        <w:t>监管、</w:t>
      </w:r>
      <w:r>
        <w:rPr>
          <w:rFonts w:hint="eastAsia" w:ascii="仿宋" w:hAnsi="仿宋" w:eastAsia="仿宋" w:cs="仿宋"/>
          <w:sz w:val="32"/>
          <w:szCs w:val="32"/>
        </w:rPr>
        <w:t>谁主管谁</w:t>
      </w:r>
      <w:r>
        <w:rPr>
          <w:rFonts w:hint="eastAsia" w:ascii="仿宋" w:hAnsi="仿宋" w:eastAsia="仿宋" w:cs="仿宋"/>
          <w:sz w:val="32"/>
          <w:szCs w:val="32"/>
          <w:lang w:eastAsia="zh-CN"/>
        </w:rPr>
        <w:t>监管</w:t>
      </w:r>
      <w:r>
        <w:rPr>
          <w:rFonts w:hint="eastAsia" w:ascii="仿宋" w:hAnsi="仿宋" w:eastAsia="仿宋" w:cs="仿宋"/>
          <w:sz w:val="32"/>
          <w:szCs w:val="32"/>
        </w:rPr>
        <w:t>”的原则，厘清职能边界、明确权责范围，切实做到</w:t>
      </w:r>
      <w:r>
        <w:rPr>
          <w:rFonts w:hint="eastAsia" w:ascii="仿宋" w:hAnsi="仿宋" w:eastAsia="仿宋" w:cs="仿宋"/>
          <w:sz w:val="32"/>
          <w:szCs w:val="32"/>
          <w:lang w:eastAsia="zh-CN"/>
        </w:rPr>
        <w:t>“</w:t>
      </w:r>
      <w:r>
        <w:rPr>
          <w:rFonts w:hint="eastAsia" w:ascii="仿宋" w:hAnsi="仿宋" w:eastAsia="仿宋" w:cs="仿宋"/>
          <w:sz w:val="32"/>
          <w:szCs w:val="32"/>
        </w:rPr>
        <w:t>法定职责必须为、法无授权不可为</w:t>
      </w:r>
      <w:r>
        <w:rPr>
          <w:rFonts w:hint="eastAsia" w:ascii="仿宋" w:hAnsi="仿宋" w:eastAsia="仿宋" w:cs="仿宋"/>
          <w:sz w:val="32"/>
          <w:szCs w:val="32"/>
          <w:lang w:eastAsia="zh-CN"/>
        </w:rPr>
        <w:t>”</w:t>
      </w:r>
      <w:r>
        <w:rPr>
          <w:rFonts w:hint="eastAsia" w:ascii="仿宋" w:hAnsi="仿宋" w:eastAsia="仿宋" w:cs="仿宋"/>
          <w:sz w:val="32"/>
          <w:szCs w:val="32"/>
        </w:rPr>
        <w:t>；强化法治约束，按照</w:t>
      </w:r>
      <w:r>
        <w:rPr>
          <w:rFonts w:hint="eastAsia" w:ascii="仿宋" w:hAnsi="仿宋" w:eastAsia="仿宋" w:cs="仿宋"/>
          <w:sz w:val="32"/>
          <w:szCs w:val="32"/>
          <w:lang w:eastAsia="zh-CN"/>
        </w:rPr>
        <w:t>依法行政</w:t>
      </w:r>
      <w:r>
        <w:rPr>
          <w:rFonts w:hint="eastAsia" w:ascii="仿宋" w:hAnsi="仿宋" w:eastAsia="仿宋" w:cs="仿宋"/>
          <w:sz w:val="32"/>
          <w:szCs w:val="32"/>
        </w:rPr>
        <w:t>的要求，切实做到严格规范公正文明执法，推动市场监管工作全面纳入法治轨道；强化法治保障，坚持把依法监管作为市场监管部门固根本、强基础、利长远的重要支撑，更好地发挥法治在市场监管中的保障作用。</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cs="黑体"/>
          <w:sz w:val="32"/>
          <w:szCs w:val="32"/>
          <w:lang w:val="zh-CN" w:eastAsia="zh-CN"/>
        </w:rPr>
      </w:pPr>
      <w:bookmarkStart w:id="7" w:name="_Toc31204"/>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发展目标</w:t>
      </w:r>
      <w:bookmarkEnd w:id="7"/>
      <w:bookmarkStart w:id="8" w:name="_Toc10267"/>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第一节</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val="zh-CN" w:eastAsia="zh-CN"/>
        </w:rPr>
        <w:t>总体目标</w:t>
      </w:r>
      <w:bookmarkEnd w:id="8"/>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围绕“守住安全底线、聚焦民生关切、服务发展大局”三大目标，到2025年，基本建成统一开放、竞争有序、诚信守法、监管有力的现代市场体系，形成</w:t>
      </w:r>
      <w:r>
        <w:rPr>
          <w:rFonts w:hint="eastAsia" w:ascii="仿宋" w:hAnsi="仿宋" w:eastAsia="仿宋" w:cs="仿宋"/>
          <w:sz w:val="32"/>
          <w:szCs w:val="32"/>
          <w:lang w:eastAsia="zh-CN"/>
        </w:rPr>
        <w:t>公平、透明、可预期</w:t>
      </w:r>
      <w:r>
        <w:rPr>
          <w:rFonts w:hint="eastAsia" w:ascii="仿宋" w:hAnsi="仿宋" w:eastAsia="仿宋" w:cs="仿宋"/>
          <w:sz w:val="32"/>
          <w:szCs w:val="32"/>
        </w:rPr>
        <w:t>的营商环境，形成党委领导、政府主导、部门联合、企业主责、社会参与的大质量工作格局。</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sz w:val="32"/>
          <w:szCs w:val="32"/>
          <w:lang w:val="zh-CN" w:eastAsia="zh-CN"/>
        </w:rPr>
      </w:pPr>
      <w:bookmarkStart w:id="9" w:name="_Toc21314"/>
      <w:r>
        <w:rPr>
          <w:rFonts w:hint="eastAsia" w:ascii="楷体" w:hAnsi="楷体" w:eastAsia="楷体" w:cs="楷体"/>
          <w:sz w:val="32"/>
          <w:szCs w:val="32"/>
          <w:lang w:val="zh-CN" w:eastAsia="zh-CN"/>
        </w:rPr>
        <w:t>第二节</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val="zh-CN" w:eastAsia="zh-CN"/>
        </w:rPr>
        <w:t>主要目标</w:t>
      </w:r>
      <w:bookmarkEnd w:id="9"/>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w:t>
      </w:r>
      <w:r>
        <w:rPr>
          <w:rFonts w:hint="eastAsia" w:ascii="仿宋" w:hAnsi="仿宋" w:eastAsia="仿宋" w:cs="仿宋"/>
          <w:sz w:val="32"/>
          <w:szCs w:val="32"/>
        </w:rPr>
        <w:t>激发主体活力，宽松便捷的市场准入环境进一步优化。</w:t>
      </w:r>
      <w:r>
        <w:rPr>
          <w:rFonts w:hint="eastAsia" w:ascii="仿宋" w:hAnsi="仿宋" w:eastAsia="仿宋" w:cs="仿宋"/>
          <w:sz w:val="32"/>
          <w:szCs w:val="32"/>
          <w:lang w:val="en-US" w:eastAsia="zh-CN"/>
        </w:rPr>
        <w:t>建立健全与市场准入负面清单制度相适应的准入机制。</w:t>
      </w:r>
      <w:r>
        <w:rPr>
          <w:rFonts w:hint="eastAsia" w:ascii="仿宋" w:hAnsi="仿宋" w:eastAsia="仿宋" w:cs="仿宋"/>
          <w:sz w:val="32"/>
          <w:szCs w:val="32"/>
          <w:lang w:eastAsia="zh-CN"/>
        </w:rPr>
        <w:t>市场监管</w:t>
      </w:r>
      <w:r>
        <w:rPr>
          <w:rFonts w:hint="eastAsia" w:ascii="仿宋" w:hAnsi="仿宋" w:eastAsia="仿宋" w:cs="仿宋"/>
          <w:sz w:val="32"/>
          <w:szCs w:val="32"/>
        </w:rPr>
        <w:t>行政审批事项进一步压减。市场活力持续激发，构建有利于大众创业、万众创新蓬勃发展的政策环境、制度环境。企业</w:t>
      </w:r>
      <w:r>
        <w:rPr>
          <w:rFonts w:hint="eastAsia" w:ascii="仿宋" w:hAnsi="仿宋" w:eastAsia="仿宋" w:cs="仿宋"/>
          <w:sz w:val="32"/>
          <w:szCs w:val="32"/>
          <w:lang w:eastAsia="zh-CN"/>
        </w:rPr>
        <w:t>开办</w:t>
      </w:r>
      <w:r>
        <w:rPr>
          <w:rFonts w:hint="eastAsia" w:ascii="仿宋" w:hAnsi="仿宋" w:eastAsia="仿宋" w:cs="仿宋"/>
          <w:sz w:val="32"/>
          <w:szCs w:val="32"/>
        </w:rPr>
        <w:t>时间</w:t>
      </w:r>
      <w:r>
        <w:rPr>
          <w:rFonts w:hint="eastAsia" w:ascii="仿宋" w:hAnsi="仿宋" w:eastAsia="仿宋" w:cs="仿宋"/>
          <w:spacing w:val="-6"/>
          <w:sz w:val="32"/>
          <w:szCs w:val="32"/>
        </w:rPr>
        <w:t>缩减，新增市场主体持续增长、活跃发展，新设企业生命周期延长。</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w:t>
      </w:r>
      <w:r>
        <w:rPr>
          <w:rFonts w:hint="eastAsia" w:ascii="仿宋" w:hAnsi="仿宋" w:eastAsia="仿宋" w:cs="仿宋"/>
          <w:sz w:val="32"/>
          <w:szCs w:val="32"/>
        </w:rPr>
        <w:t>优化营商环境，公平有序的市场竞争秩序进一步规范。公平竞争审查制度全面实施，反垄断和反不正当竞争执法</w:t>
      </w:r>
      <w:r>
        <w:rPr>
          <w:rFonts w:hint="eastAsia" w:ascii="仿宋" w:hAnsi="仿宋" w:eastAsia="仿宋" w:cs="仿宋"/>
          <w:sz w:val="32"/>
          <w:szCs w:val="32"/>
          <w:lang w:eastAsia="zh-CN"/>
        </w:rPr>
        <w:t>取得</w:t>
      </w:r>
      <w:r>
        <w:rPr>
          <w:rFonts w:hint="eastAsia" w:ascii="仿宋" w:hAnsi="仿宋" w:eastAsia="仿宋" w:cs="仿宋"/>
          <w:sz w:val="32"/>
          <w:szCs w:val="32"/>
        </w:rPr>
        <w:t>显著成效，侵权假冒、地方保护、行业壁垒、垄断行为得到有效治理，公平竞争、优胜劣汰机制基本建立。统一大市场进一步完善，市场秩序明显改善，商标品牌作用充分发挥，市场主体质量显著提升。</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w:t>
      </w:r>
      <w:r>
        <w:rPr>
          <w:rFonts w:hint="eastAsia" w:ascii="仿宋" w:hAnsi="仿宋" w:eastAsia="仿宋" w:cs="仿宋"/>
          <w:sz w:val="32"/>
          <w:szCs w:val="32"/>
        </w:rPr>
        <w:t>保护合法权益，安全放心的消费环境进一步形成。推进供给侧结构性改革，不断满足人民群众消费升级</w:t>
      </w:r>
      <w:r>
        <w:rPr>
          <w:rFonts w:hint="eastAsia" w:ascii="仿宋" w:hAnsi="仿宋" w:eastAsia="仿宋" w:cs="仿宋"/>
          <w:sz w:val="32"/>
          <w:szCs w:val="32"/>
          <w:lang w:eastAsia="zh-CN"/>
        </w:rPr>
        <w:t>新需求</w:t>
      </w:r>
      <w:r>
        <w:rPr>
          <w:rFonts w:hint="eastAsia" w:ascii="仿宋" w:hAnsi="仿宋" w:eastAsia="仿宋" w:cs="仿宋"/>
          <w:sz w:val="32"/>
          <w:szCs w:val="32"/>
        </w:rPr>
        <w:t>。消费维权机制进一步健全</w:t>
      </w:r>
      <w:r>
        <w:rPr>
          <w:rFonts w:hint="eastAsia" w:ascii="仿宋" w:hAnsi="仿宋" w:eastAsia="仿宋" w:cs="仿宋"/>
          <w:sz w:val="32"/>
          <w:szCs w:val="32"/>
          <w:lang w:eastAsia="zh-CN"/>
        </w:rPr>
        <w:t>，</w:t>
      </w:r>
      <w:r>
        <w:rPr>
          <w:rFonts w:hint="eastAsia" w:ascii="仿宋" w:hAnsi="仿宋" w:eastAsia="仿宋" w:cs="仿宋"/>
          <w:sz w:val="32"/>
          <w:szCs w:val="32"/>
        </w:rPr>
        <w:t>消费者协会和其他消费者组织发展壮大，商品和服务消费的质量安全水平全面提升，消费者满意度持续提高。到2025年，初步建立与我区经济社会发展水平相适应的市场监管治理体系，确保“十四五”期间不发生区域性、系统性安全事件。</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sz w:val="32"/>
          <w:szCs w:val="32"/>
        </w:rPr>
        <w:t>——</w:t>
      </w:r>
      <w:r>
        <w:rPr>
          <w:rFonts w:hint="eastAsia" w:ascii="仿宋" w:hAnsi="仿宋" w:eastAsia="仿宋" w:cs="仿宋"/>
          <w:sz w:val="32"/>
          <w:szCs w:val="32"/>
        </w:rPr>
        <w:t>强化质量提升，品牌建设能力和技术创新水平进一步提高。</w:t>
      </w:r>
      <w:r>
        <w:rPr>
          <w:rFonts w:hint="eastAsia" w:ascii="仿宋" w:hAnsi="仿宋" w:eastAsia="仿宋" w:cs="仿宋"/>
          <w:sz w:val="32"/>
          <w:szCs w:val="32"/>
          <w:lang w:eastAsia="zh-CN"/>
        </w:rPr>
        <w:t>持续推进</w:t>
      </w:r>
      <w:r>
        <w:rPr>
          <w:rFonts w:hint="eastAsia" w:ascii="仿宋" w:hAnsi="仿宋" w:eastAsia="仿宋" w:cs="仿宋"/>
          <w:sz w:val="32"/>
          <w:szCs w:val="32"/>
        </w:rPr>
        <w:t>质量强区战略，</w:t>
      </w:r>
      <w:r>
        <w:rPr>
          <w:rFonts w:hint="eastAsia" w:ascii="仿宋" w:hAnsi="仿宋" w:eastAsia="仿宋" w:cs="仿宋"/>
          <w:sz w:val="32"/>
          <w:szCs w:val="32"/>
          <w:lang w:eastAsia="zh-CN"/>
        </w:rPr>
        <w:t>深入开展质量提升行动，夯实质量基础设施，农产品食品安全底线进一步筑牢；消费品优质供给能力明显增强；工程质量保障体系基本健全；建筑工程品质进一步提升；生产性服务和生活性服务业提质增效，服务可及性、便利性和公共服务质量满意度不断提高。</w:t>
      </w:r>
    </w:p>
    <w:p>
      <w:pPr>
        <w:topLinePunct/>
        <w:spacing w:line="58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w:t>
      </w:r>
      <w:r>
        <w:rPr>
          <w:rFonts w:hint="eastAsia" w:ascii="仿宋" w:hAnsi="仿宋" w:eastAsia="仿宋" w:cs="仿宋"/>
          <w:sz w:val="32"/>
          <w:szCs w:val="32"/>
        </w:rPr>
        <w:t>提升监管效能，权威高效的市场监管体制机制进一步完善。市场监管综合执法体制改革全面完成，各级监管责任全面落实，协调、配合、齐抓共管的市场监管格局进一步完善，形成统一规范、权责明确、公正高效、法治保障的市场监管体系。信用监管、大数据监管以及多元共治等新型监管机制进一步完善。</w:t>
      </w: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rPr>
      </w:pPr>
    </w:p>
    <w:tbl>
      <w:tblPr>
        <w:tblStyle w:val="13"/>
        <w:tblpPr w:leftFromText="181" w:rightFromText="181" w:vertAnchor="text" w:horzAnchor="page" w:tblpXSpec="center" w:tblpY="1"/>
        <w:tblOverlap w:val="never"/>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3"/>
        <w:gridCol w:w="5327"/>
        <w:gridCol w:w="1181"/>
        <w:gridCol w:w="1153"/>
        <w:gridCol w:w="10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7" w:hRule="exact"/>
          <w:jc w:val="center"/>
        </w:trPr>
        <w:tc>
          <w:tcPr>
            <w:tcW w:w="9341" w:type="dxa"/>
            <w:gridSpan w:val="5"/>
            <w:tcBorders>
              <w:tl2br w:val="nil"/>
              <w:tr2bl w:val="nil"/>
            </w:tcBorders>
            <w:noWrap w:val="0"/>
            <w:tcMar>
              <w:top w:w="10" w:type="dxa"/>
              <w:left w:w="10" w:type="dxa"/>
              <w:right w:w="10" w:type="dxa"/>
            </w:tcMar>
            <w:vAlign w:val="center"/>
          </w:tcPr>
          <w:p>
            <w:pPr>
              <w:pStyle w:val="2"/>
              <w:jc w:val="center"/>
              <w:rPr>
                <w:rFonts w:hint="eastAsia" w:ascii="宋体" w:hAnsi="宋体" w:eastAsia="宋体" w:cs="宋体"/>
                <w:color w:val="auto"/>
                <w:sz w:val="24"/>
                <w:szCs w:val="24"/>
                <w:highlight w:val="none"/>
                <w:shd w:val="clear" w:color="auto" w:fill="auto"/>
              </w:rPr>
            </w:pPr>
            <w:r>
              <w:rPr>
                <w:rFonts w:hint="eastAsia" w:ascii="黑体" w:hAnsi="黑体" w:eastAsia="黑体" w:cs="黑体"/>
                <w:b w:val="0"/>
                <w:bCs w:val="0"/>
                <w:color w:val="auto"/>
                <w:sz w:val="32"/>
                <w:szCs w:val="32"/>
                <w:highlight w:val="none"/>
                <w:shd w:val="clear" w:color="auto" w:fill="auto"/>
              </w:rPr>
              <w:t>专栏</w:t>
            </w:r>
            <w:r>
              <w:rPr>
                <w:rFonts w:hint="eastAsia" w:ascii="黑体" w:hAnsi="黑体" w:eastAsia="黑体" w:cs="黑体"/>
                <w:b w:val="0"/>
                <w:bCs w:val="0"/>
                <w:color w:val="auto"/>
                <w:sz w:val="32"/>
                <w:szCs w:val="32"/>
                <w:highlight w:val="none"/>
                <w:shd w:val="clear" w:color="auto" w:fill="auto"/>
                <w:lang w:val="en-US" w:eastAsia="zh-CN"/>
              </w:rPr>
              <w:t xml:space="preserve">1  </w:t>
            </w:r>
            <w:r>
              <w:rPr>
                <w:rFonts w:hint="eastAsia" w:ascii="黑体" w:hAnsi="黑体" w:eastAsia="黑体" w:cs="黑体"/>
                <w:b w:val="0"/>
                <w:bCs w:val="0"/>
                <w:color w:val="auto"/>
                <w:sz w:val="32"/>
                <w:szCs w:val="32"/>
                <w:highlight w:val="none"/>
                <w:shd w:val="clear" w:color="auto" w:fill="auto"/>
              </w:rPr>
              <w:t>内蒙古自治区“十四五”市场监管规划主要指标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exact"/>
          <w:jc w:val="center"/>
        </w:trPr>
        <w:tc>
          <w:tcPr>
            <w:tcW w:w="66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val="0"/>
                <w:color w:val="auto"/>
                <w:sz w:val="28"/>
                <w:szCs w:val="28"/>
                <w:highlight w:val="none"/>
                <w:shd w:val="clear" w:color="auto" w:fill="auto"/>
              </w:rPr>
            </w:pPr>
            <w:r>
              <w:rPr>
                <w:rFonts w:hint="eastAsia" w:ascii="黑体" w:hAnsi="黑体" w:eastAsia="黑体" w:cs="黑体"/>
                <w:b w:val="0"/>
                <w:bCs w:val="0"/>
                <w:color w:val="auto"/>
                <w:sz w:val="28"/>
                <w:szCs w:val="28"/>
                <w:highlight w:val="none"/>
                <w:shd w:val="clear" w:color="auto" w:fill="auto"/>
              </w:rPr>
              <w:t>序号</w:t>
            </w:r>
          </w:p>
        </w:tc>
        <w:tc>
          <w:tcPr>
            <w:tcW w:w="5327"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val="0"/>
                <w:color w:val="auto"/>
                <w:sz w:val="28"/>
                <w:szCs w:val="28"/>
                <w:highlight w:val="none"/>
                <w:shd w:val="clear" w:color="auto" w:fill="auto"/>
              </w:rPr>
            </w:pPr>
            <w:r>
              <w:rPr>
                <w:rFonts w:hint="eastAsia" w:ascii="黑体" w:hAnsi="黑体" w:eastAsia="黑体" w:cs="黑体"/>
                <w:b w:val="0"/>
                <w:bCs w:val="0"/>
                <w:color w:val="auto"/>
                <w:sz w:val="28"/>
                <w:szCs w:val="28"/>
                <w:highlight w:val="none"/>
                <w:shd w:val="clear" w:color="auto" w:fill="auto"/>
              </w:rPr>
              <w:t>指</w:t>
            </w:r>
            <w:r>
              <w:rPr>
                <w:rFonts w:hint="eastAsia" w:ascii="黑体" w:hAnsi="黑体" w:eastAsia="黑体" w:cs="黑体"/>
                <w:b w:val="0"/>
                <w:bCs w:val="0"/>
                <w:color w:val="auto"/>
                <w:sz w:val="28"/>
                <w:szCs w:val="28"/>
                <w:highlight w:val="none"/>
                <w:shd w:val="clear" w:color="auto" w:fill="auto"/>
                <w:lang w:val="en-US" w:eastAsia="zh-CN"/>
              </w:rPr>
              <w:t xml:space="preserve">           </w:t>
            </w:r>
            <w:r>
              <w:rPr>
                <w:rFonts w:hint="eastAsia" w:ascii="黑体" w:hAnsi="黑体" w:eastAsia="黑体" w:cs="黑体"/>
                <w:b w:val="0"/>
                <w:bCs w:val="0"/>
                <w:color w:val="auto"/>
                <w:sz w:val="28"/>
                <w:szCs w:val="28"/>
                <w:highlight w:val="none"/>
                <w:shd w:val="clear" w:color="auto" w:fill="auto"/>
              </w:rPr>
              <w:t>标</w:t>
            </w:r>
          </w:p>
        </w:tc>
        <w:tc>
          <w:tcPr>
            <w:tcW w:w="1181"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val="0"/>
                <w:color w:val="auto"/>
                <w:sz w:val="28"/>
                <w:szCs w:val="28"/>
                <w:highlight w:val="none"/>
                <w:shd w:val="clear" w:color="auto" w:fill="auto"/>
              </w:rPr>
            </w:pPr>
            <w:r>
              <w:rPr>
                <w:rFonts w:hint="eastAsia" w:ascii="黑体" w:hAnsi="黑体" w:eastAsia="黑体" w:cs="黑体"/>
                <w:b w:val="0"/>
                <w:bCs w:val="0"/>
                <w:color w:val="auto"/>
                <w:sz w:val="28"/>
                <w:szCs w:val="28"/>
                <w:highlight w:val="none"/>
                <w:shd w:val="clear" w:color="auto" w:fill="auto"/>
              </w:rPr>
              <w:t>2020年</w:t>
            </w:r>
          </w:p>
          <w:p>
            <w:pPr>
              <w:keepNext w:val="0"/>
              <w:keepLines w:val="0"/>
              <w:pageBreakBefore w:val="0"/>
              <w:widowControl w:val="0"/>
              <w:kinsoku/>
              <w:wordWrap w:val="0"/>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val="0"/>
                <w:color w:val="auto"/>
                <w:sz w:val="28"/>
                <w:szCs w:val="28"/>
                <w:highlight w:val="none"/>
                <w:shd w:val="clear" w:color="auto" w:fill="auto"/>
              </w:rPr>
            </w:pPr>
            <w:r>
              <w:rPr>
                <w:rFonts w:hint="eastAsia" w:ascii="黑体" w:hAnsi="黑体" w:eastAsia="黑体" w:cs="黑体"/>
                <w:b w:val="0"/>
                <w:bCs w:val="0"/>
                <w:color w:val="auto"/>
                <w:sz w:val="28"/>
                <w:szCs w:val="28"/>
                <w:highlight w:val="none"/>
                <w:shd w:val="clear" w:color="auto" w:fill="auto"/>
              </w:rPr>
              <w:t>实</w:t>
            </w:r>
            <w:r>
              <w:rPr>
                <w:rFonts w:hint="eastAsia" w:ascii="黑体" w:hAnsi="黑体" w:eastAsia="黑体" w:cs="黑体"/>
                <w:b w:val="0"/>
                <w:bCs w:val="0"/>
                <w:color w:val="auto"/>
                <w:sz w:val="28"/>
                <w:szCs w:val="28"/>
                <w:highlight w:val="none"/>
                <w:shd w:val="clear" w:color="auto" w:fill="auto"/>
                <w:lang w:val="en-US" w:eastAsia="zh-CN"/>
              </w:rPr>
              <w:t xml:space="preserve">  </w:t>
            </w:r>
            <w:r>
              <w:rPr>
                <w:rFonts w:hint="eastAsia" w:ascii="黑体" w:hAnsi="黑体" w:eastAsia="黑体" w:cs="黑体"/>
                <w:b w:val="0"/>
                <w:bCs w:val="0"/>
                <w:color w:val="auto"/>
                <w:sz w:val="28"/>
                <w:szCs w:val="28"/>
                <w:highlight w:val="none"/>
                <w:shd w:val="clear" w:color="auto" w:fill="auto"/>
              </w:rPr>
              <w:t>际</w:t>
            </w:r>
          </w:p>
        </w:tc>
        <w:tc>
          <w:tcPr>
            <w:tcW w:w="115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val="0"/>
                <w:color w:val="auto"/>
                <w:sz w:val="28"/>
                <w:szCs w:val="28"/>
                <w:highlight w:val="none"/>
                <w:shd w:val="clear" w:color="auto" w:fill="auto"/>
              </w:rPr>
            </w:pPr>
            <w:r>
              <w:rPr>
                <w:rFonts w:hint="eastAsia" w:ascii="黑体" w:hAnsi="黑体" w:eastAsia="黑体" w:cs="黑体"/>
                <w:b w:val="0"/>
                <w:bCs w:val="0"/>
                <w:color w:val="auto"/>
                <w:sz w:val="28"/>
                <w:szCs w:val="28"/>
                <w:highlight w:val="none"/>
                <w:shd w:val="clear" w:color="auto" w:fill="auto"/>
              </w:rPr>
              <w:t>2025年</w:t>
            </w:r>
          </w:p>
          <w:p>
            <w:pPr>
              <w:keepNext w:val="0"/>
              <w:keepLines w:val="0"/>
              <w:pageBreakBefore w:val="0"/>
              <w:widowControl w:val="0"/>
              <w:kinsoku/>
              <w:wordWrap w:val="0"/>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val="0"/>
                <w:color w:val="auto"/>
                <w:sz w:val="28"/>
                <w:szCs w:val="28"/>
                <w:highlight w:val="none"/>
                <w:shd w:val="clear" w:color="auto" w:fill="auto"/>
              </w:rPr>
            </w:pPr>
            <w:r>
              <w:rPr>
                <w:rFonts w:hint="eastAsia" w:ascii="黑体" w:hAnsi="黑体" w:eastAsia="黑体" w:cs="黑体"/>
                <w:b w:val="0"/>
                <w:bCs w:val="0"/>
                <w:color w:val="auto"/>
                <w:sz w:val="28"/>
                <w:szCs w:val="28"/>
                <w:highlight w:val="none"/>
                <w:shd w:val="clear" w:color="auto" w:fill="auto"/>
              </w:rPr>
              <w:t>目</w:t>
            </w:r>
            <w:r>
              <w:rPr>
                <w:rFonts w:hint="eastAsia" w:ascii="黑体" w:hAnsi="黑体" w:eastAsia="黑体" w:cs="黑体"/>
                <w:b w:val="0"/>
                <w:bCs w:val="0"/>
                <w:color w:val="auto"/>
                <w:sz w:val="28"/>
                <w:szCs w:val="28"/>
                <w:highlight w:val="none"/>
                <w:shd w:val="clear" w:color="auto" w:fill="auto"/>
                <w:lang w:val="en-US" w:eastAsia="zh-CN"/>
              </w:rPr>
              <w:t xml:space="preserve">  </w:t>
            </w:r>
            <w:r>
              <w:rPr>
                <w:rFonts w:hint="eastAsia" w:ascii="黑体" w:hAnsi="黑体" w:eastAsia="黑体" w:cs="黑体"/>
                <w:b w:val="0"/>
                <w:bCs w:val="0"/>
                <w:color w:val="auto"/>
                <w:sz w:val="28"/>
                <w:szCs w:val="28"/>
                <w:highlight w:val="none"/>
                <w:shd w:val="clear" w:color="auto" w:fill="auto"/>
              </w:rPr>
              <w:t>标</w:t>
            </w:r>
          </w:p>
        </w:tc>
        <w:tc>
          <w:tcPr>
            <w:tcW w:w="1017" w:type="dxa"/>
            <w:tcBorders>
              <w:tl2br w:val="nil"/>
              <w:tr2bl w:val="nil"/>
            </w:tcBorders>
            <w:noWrap w:val="0"/>
            <w:vAlign w:val="center"/>
          </w:tcPr>
          <w:p>
            <w:pPr>
              <w:keepNext w:val="0"/>
              <w:keepLines w:val="0"/>
              <w:pageBreakBefore w:val="0"/>
              <w:widowControl w:val="0"/>
              <w:kinsoku/>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val="0"/>
                <w:color w:val="auto"/>
                <w:sz w:val="28"/>
                <w:szCs w:val="28"/>
                <w:highlight w:val="none"/>
                <w:shd w:val="clear" w:color="auto" w:fill="auto"/>
              </w:rPr>
            </w:pPr>
            <w:r>
              <w:rPr>
                <w:rFonts w:hint="eastAsia" w:ascii="黑体" w:hAnsi="黑体" w:eastAsia="黑体" w:cs="黑体"/>
                <w:b w:val="0"/>
                <w:bCs w:val="0"/>
                <w:color w:val="auto"/>
                <w:sz w:val="28"/>
                <w:szCs w:val="28"/>
                <w:highlight w:val="none"/>
                <w:shd w:val="clear" w:color="auto" w:fill="auto"/>
              </w:rPr>
              <w:t>属</w:t>
            </w:r>
            <w:r>
              <w:rPr>
                <w:rFonts w:hint="eastAsia" w:ascii="黑体" w:hAnsi="黑体" w:eastAsia="黑体" w:cs="黑体"/>
                <w:b w:val="0"/>
                <w:bCs w:val="0"/>
                <w:color w:val="auto"/>
                <w:sz w:val="28"/>
                <w:szCs w:val="28"/>
                <w:highlight w:val="none"/>
                <w:shd w:val="clear" w:color="auto" w:fill="auto"/>
                <w:lang w:val="en-US" w:eastAsia="zh-CN"/>
              </w:rPr>
              <w:t xml:space="preserve"> </w:t>
            </w:r>
            <w:r>
              <w:rPr>
                <w:rFonts w:hint="eastAsia" w:ascii="黑体" w:hAnsi="黑体" w:eastAsia="黑体" w:cs="黑体"/>
                <w:b w:val="0"/>
                <w:bCs w:val="0"/>
                <w:color w:val="auto"/>
                <w:sz w:val="28"/>
                <w:szCs w:val="28"/>
                <w:highlight w:val="none"/>
                <w:shd w:val="clear" w:color="auto" w:fill="auto"/>
              </w:rPr>
              <w:t>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66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1</w:t>
            </w:r>
          </w:p>
        </w:tc>
        <w:tc>
          <w:tcPr>
            <w:tcW w:w="5327"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每万人口高价值发明专利拥有量（件）</w:t>
            </w:r>
          </w:p>
        </w:tc>
        <w:tc>
          <w:tcPr>
            <w:tcW w:w="1181"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0.93</w:t>
            </w:r>
          </w:p>
        </w:tc>
        <w:tc>
          <w:tcPr>
            <w:tcW w:w="115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1.8</w:t>
            </w:r>
          </w:p>
        </w:tc>
        <w:tc>
          <w:tcPr>
            <w:tcW w:w="10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66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2</w:t>
            </w:r>
          </w:p>
        </w:tc>
        <w:tc>
          <w:tcPr>
            <w:tcW w:w="5327"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随机抽查事项清单覆盖率（%）</w:t>
            </w:r>
          </w:p>
        </w:tc>
        <w:tc>
          <w:tcPr>
            <w:tcW w:w="1181"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w:t>
            </w:r>
          </w:p>
        </w:tc>
        <w:tc>
          <w:tcPr>
            <w:tcW w:w="115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100</w:t>
            </w:r>
          </w:p>
        </w:tc>
        <w:tc>
          <w:tcPr>
            <w:tcW w:w="10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66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3</w:t>
            </w:r>
          </w:p>
        </w:tc>
        <w:tc>
          <w:tcPr>
            <w:tcW w:w="5327"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消费投诉按期办结率（%）</w:t>
            </w:r>
          </w:p>
        </w:tc>
        <w:tc>
          <w:tcPr>
            <w:tcW w:w="1181"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96</w:t>
            </w:r>
          </w:p>
        </w:tc>
        <w:tc>
          <w:tcPr>
            <w:tcW w:w="115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98</w:t>
            </w:r>
          </w:p>
        </w:tc>
        <w:tc>
          <w:tcPr>
            <w:tcW w:w="1017" w:type="dxa"/>
            <w:tcBorders>
              <w:tl2br w:val="nil"/>
              <w:tr2bl w:val="nil"/>
            </w:tcBorders>
            <w:noWrap w:val="0"/>
            <w:vAlign w:val="center"/>
          </w:tcPr>
          <w:p>
            <w:pPr>
              <w:keepNext w:val="0"/>
              <w:keepLines w:val="0"/>
              <w:pageBreakBefore w:val="0"/>
              <w:widowControl w:val="0"/>
              <w:kinsoku/>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66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4</w:t>
            </w:r>
          </w:p>
        </w:tc>
        <w:tc>
          <w:tcPr>
            <w:tcW w:w="5327"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举报按期核查率（%）</w:t>
            </w:r>
          </w:p>
        </w:tc>
        <w:tc>
          <w:tcPr>
            <w:tcW w:w="1181"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88</w:t>
            </w:r>
          </w:p>
        </w:tc>
        <w:tc>
          <w:tcPr>
            <w:tcW w:w="115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92</w:t>
            </w:r>
          </w:p>
        </w:tc>
        <w:tc>
          <w:tcPr>
            <w:tcW w:w="10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66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5</w:t>
            </w:r>
          </w:p>
        </w:tc>
        <w:tc>
          <w:tcPr>
            <w:tcW w:w="5327"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制造业产品质量合格率（%）</w:t>
            </w:r>
          </w:p>
        </w:tc>
        <w:tc>
          <w:tcPr>
            <w:tcW w:w="1181"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96.16</w:t>
            </w:r>
          </w:p>
        </w:tc>
        <w:tc>
          <w:tcPr>
            <w:tcW w:w="115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rPr>
              <w:t>96</w:t>
            </w:r>
            <w:r>
              <w:rPr>
                <w:rFonts w:hint="eastAsia" w:ascii="仿宋" w:hAnsi="仿宋" w:eastAsia="仿宋" w:cs="仿宋"/>
                <w:color w:val="auto"/>
                <w:sz w:val="28"/>
                <w:szCs w:val="28"/>
                <w:highlight w:val="none"/>
                <w:shd w:val="clear" w:color="auto" w:fill="auto"/>
                <w:lang w:val="en-US" w:eastAsia="zh-CN"/>
              </w:rPr>
              <w:t>.5</w:t>
            </w:r>
          </w:p>
        </w:tc>
        <w:tc>
          <w:tcPr>
            <w:tcW w:w="10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66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6</w:t>
            </w:r>
          </w:p>
        </w:tc>
        <w:tc>
          <w:tcPr>
            <w:tcW w:w="5327"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公共服务质量满意度（分）</w:t>
            </w:r>
          </w:p>
        </w:tc>
        <w:tc>
          <w:tcPr>
            <w:tcW w:w="1181"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81.41</w:t>
            </w:r>
          </w:p>
        </w:tc>
        <w:tc>
          <w:tcPr>
            <w:tcW w:w="115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83</w:t>
            </w:r>
          </w:p>
        </w:tc>
        <w:tc>
          <w:tcPr>
            <w:tcW w:w="10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66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7</w:t>
            </w:r>
          </w:p>
        </w:tc>
        <w:tc>
          <w:tcPr>
            <w:tcW w:w="5327"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※千人</w:t>
            </w:r>
            <w:r>
              <w:rPr>
                <w:rFonts w:hint="eastAsia" w:ascii="仿宋" w:hAnsi="仿宋" w:eastAsia="仿宋" w:cs="仿宋"/>
                <w:color w:val="auto"/>
                <w:sz w:val="28"/>
                <w:szCs w:val="28"/>
                <w:highlight w:val="none"/>
                <w:shd w:val="clear" w:color="auto" w:fill="auto"/>
                <w:lang w:eastAsia="zh-CN"/>
              </w:rPr>
              <w:t>农产品和</w:t>
            </w:r>
            <w:r>
              <w:rPr>
                <w:rFonts w:hint="eastAsia" w:ascii="仿宋" w:hAnsi="仿宋" w:eastAsia="仿宋" w:cs="仿宋"/>
                <w:color w:val="auto"/>
                <w:sz w:val="28"/>
                <w:szCs w:val="28"/>
                <w:highlight w:val="none"/>
                <w:shd w:val="clear" w:color="auto" w:fill="auto"/>
              </w:rPr>
              <w:t>食品检验量（批次/千人）</w:t>
            </w:r>
          </w:p>
        </w:tc>
        <w:tc>
          <w:tcPr>
            <w:tcW w:w="1181"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4</w:t>
            </w:r>
          </w:p>
        </w:tc>
        <w:tc>
          <w:tcPr>
            <w:tcW w:w="115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5</w:t>
            </w:r>
          </w:p>
        </w:tc>
        <w:tc>
          <w:tcPr>
            <w:tcW w:w="10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66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8</w:t>
            </w:r>
          </w:p>
        </w:tc>
        <w:tc>
          <w:tcPr>
            <w:tcW w:w="5327"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食品抽检问题处置率（%）</w:t>
            </w:r>
          </w:p>
        </w:tc>
        <w:tc>
          <w:tcPr>
            <w:tcW w:w="1181"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96.7</w:t>
            </w:r>
          </w:p>
        </w:tc>
        <w:tc>
          <w:tcPr>
            <w:tcW w:w="115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100</w:t>
            </w:r>
          </w:p>
        </w:tc>
        <w:tc>
          <w:tcPr>
            <w:tcW w:w="10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66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9</w:t>
            </w:r>
          </w:p>
        </w:tc>
        <w:tc>
          <w:tcPr>
            <w:tcW w:w="5327"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基本药物抽检合格率（%）</w:t>
            </w:r>
          </w:p>
        </w:tc>
        <w:tc>
          <w:tcPr>
            <w:tcW w:w="1181"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97.4</w:t>
            </w:r>
          </w:p>
        </w:tc>
        <w:tc>
          <w:tcPr>
            <w:tcW w:w="115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98</w:t>
            </w:r>
          </w:p>
        </w:tc>
        <w:tc>
          <w:tcPr>
            <w:tcW w:w="10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66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10</w:t>
            </w:r>
          </w:p>
        </w:tc>
        <w:tc>
          <w:tcPr>
            <w:tcW w:w="5327"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万台特种设备事故死亡率（人/万台）</w:t>
            </w:r>
          </w:p>
        </w:tc>
        <w:tc>
          <w:tcPr>
            <w:tcW w:w="1181"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0.3</w:t>
            </w:r>
          </w:p>
        </w:tc>
        <w:tc>
          <w:tcPr>
            <w:tcW w:w="115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0.28</w:t>
            </w:r>
          </w:p>
        </w:tc>
        <w:tc>
          <w:tcPr>
            <w:tcW w:w="10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66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11</w:t>
            </w:r>
          </w:p>
        </w:tc>
        <w:tc>
          <w:tcPr>
            <w:tcW w:w="5327"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建设助推高质量发展的标准体系项目（个）</w:t>
            </w:r>
          </w:p>
        </w:tc>
        <w:tc>
          <w:tcPr>
            <w:tcW w:w="1181"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31</w:t>
            </w:r>
          </w:p>
        </w:tc>
        <w:tc>
          <w:tcPr>
            <w:tcW w:w="1153" w:type="dxa"/>
            <w:tcBorders>
              <w:tl2br w:val="nil"/>
              <w:tr2bl w:val="nil"/>
            </w:tcBorders>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100</w:t>
            </w:r>
          </w:p>
        </w:tc>
        <w:tc>
          <w:tcPr>
            <w:tcW w:w="10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预期性</w:t>
            </w:r>
          </w:p>
        </w:tc>
      </w:tr>
    </w:tbl>
    <w:p>
      <w:pPr>
        <w:pStyle w:val="4"/>
        <w:keepNext w:val="0"/>
        <w:keepLines w:val="0"/>
        <w:pageBreakBefore w:val="0"/>
        <w:widowControl w:val="0"/>
        <w:kinsoku/>
        <w:wordWrap/>
        <w:overflowPunct/>
        <w:topLinePunct/>
        <w:autoSpaceDE/>
        <w:autoSpaceDN/>
        <w:bidi w:val="0"/>
        <w:adjustRightInd/>
        <w:snapToGrid/>
        <w:spacing w:beforeLines="0" w:afterLines="0" w:line="360" w:lineRule="exact"/>
        <w:ind w:left="719" w:leftChars="0" w:right="0" w:rightChars="0" w:hanging="719" w:hangingChars="257"/>
        <w:jc w:val="left"/>
        <w:textAlignment w:val="auto"/>
        <w:outlineLvl w:val="0"/>
        <w:rPr>
          <w:rFonts w:hint="eastAsia" w:ascii="楷体" w:hAnsi="楷体" w:eastAsia="楷体" w:cs="楷体"/>
          <w:b w:val="0"/>
          <w:bCs w:val="0"/>
          <w:color w:val="auto"/>
          <w:kern w:val="2"/>
          <w:sz w:val="28"/>
          <w:szCs w:val="28"/>
          <w:highlight w:val="none"/>
          <w:shd w:val="clear" w:color="auto" w:fill="auto"/>
          <w:lang w:val="zh-CN" w:eastAsia="zh-CN" w:bidi="ar-SA"/>
        </w:rPr>
      </w:pPr>
      <w:bookmarkStart w:id="10" w:name="_Toc25367"/>
      <w:r>
        <w:rPr>
          <w:rFonts w:hint="eastAsia" w:ascii="黑体" w:hAnsi="黑体" w:eastAsia="黑体" w:cs="黑体"/>
          <w:b w:val="0"/>
          <w:bCs w:val="0"/>
          <w:color w:val="auto"/>
          <w:kern w:val="2"/>
          <w:sz w:val="28"/>
          <w:szCs w:val="28"/>
          <w:highlight w:val="none"/>
          <w:shd w:val="clear" w:color="auto" w:fill="auto"/>
          <w:lang w:val="zh-CN" w:eastAsia="zh-CN" w:bidi="ar-SA"/>
        </w:rPr>
        <w:t>（注：</w:t>
      </w:r>
      <w:r>
        <w:rPr>
          <w:rFonts w:hint="eastAsia" w:ascii="楷体" w:hAnsi="楷体" w:eastAsia="楷体" w:cs="楷体"/>
          <w:b w:val="0"/>
          <w:bCs w:val="0"/>
          <w:color w:val="auto"/>
          <w:kern w:val="2"/>
          <w:sz w:val="28"/>
          <w:szCs w:val="28"/>
          <w:highlight w:val="none"/>
          <w:shd w:val="clear" w:color="auto" w:fill="auto"/>
          <w:lang w:val="en-US" w:eastAsia="zh-CN" w:bidi="ar-SA"/>
        </w:rPr>
        <w:t>带</w:t>
      </w:r>
      <w:r>
        <w:rPr>
          <w:rFonts w:hint="eastAsia" w:ascii="楷体" w:hAnsi="楷体" w:eastAsia="楷体" w:cs="楷体"/>
          <w:b w:val="0"/>
          <w:bCs w:val="0"/>
          <w:color w:val="auto"/>
          <w:kern w:val="2"/>
          <w:sz w:val="28"/>
          <w:szCs w:val="28"/>
          <w:highlight w:val="none"/>
          <w:shd w:val="clear" w:color="auto" w:fill="auto"/>
          <w:lang w:val="zh-CN" w:eastAsia="zh-CN" w:bidi="ar-SA"/>
        </w:rPr>
        <w:t>※指标包括卫生健康、农牧、林草、市场监管、海关等部门开展的农产品和食品抽检数量。）</w:t>
      </w:r>
    </w:p>
    <w:p>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0"/>
        <w:rPr>
          <w:rFonts w:hint="eastAsia" w:ascii="黑体" w:hAnsi="黑体" w:eastAsia="黑体" w:cs="黑体"/>
          <w:b w:val="0"/>
          <w:bCs w:val="0"/>
          <w:color w:val="auto"/>
          <w:kern w:val="2"/>
          <w:sz w:val="32"/>
          <w:szCs w:val="32"/>
          <w:highlight w:val="none"/>
          <w:shd w:val="clear" w:color="auto" w:fill="auto"/>
        </w:rPr>
      </w:pPr>
      <w:r>
        <w:rPr>
          <w:rFonts w:hint="eastAsia" w:ascii="黑体" w:hAnsi="黑体" w:eastAsia="黑体" w:cs="黑体"/>
          <w:b w:val="0"/>
          <w:bCs w:val="0"/>
          <w:color w:val="auto"/>
          <w:kern w:val="0"/>
          <w:sz w:val="32"/>
          <w:szCs w:val="32"/>
          <w:highlight w:val="none"/>
          <w:shd w:val="clear" w:color="auto" w:fill="auto"/>
          <w:lang w:val="zh-CN" w:bidi="zh-CN"/>
        </w:rPr>
        <w:t>第四章</w:t>
      </w:r>
      <w:r>
        <w:rPr>
          <w:rFonts w:hint="eastAsia" w:ascii="黑体" w:hAnsi="黑体" w:cs="黑体"/>
          <w:b w:val="0"/>
          <w:bCs w:val="0"/>
          <w:color w:val="auto"/>
          <w:kern w:val="0"/>
          <w:sz w:val="32"/>
          <w:szCs w:val="32"/>
          <w:highlight w:val="none"/>
          <w:shd w:val="clear" w:color="auto" w:fill="auto"/>
          <w:lang w:val="en-US" w:bidi="zh-CN"/>
        </w:rPr>
        <w:t xml:space="preserve">  </w:t>
      </w:r>
      <w:r>
        <w:rPr>
          <w:rFonts w:hint="eastAsia" w:ascii="黑体" w:hAnsi="黑体" w:eastAsia="黑体" w:cs="黑体"/>
          <w:b w:val="0"/>
          <w:bCs w:val="0"/>
          <w:color w:val="auto"/>
          <w:kern w:val="0"/>
          <w:sz w:val="32"/>
          <w:szCs w:val="32"/>
          <w:highlight w:val="none"/>
          <w:shd w:val="clear" w:color="auto" w:fill="auto"/>
          <w:lang w:val="zh-CN" w:bidi="zh-CN"/>
        </w:rPr>
        <w:t>重点任务</w:t>
      </w:r>
      <w:bookmarkEnd w:id="10"/>
      <w:bookmarkStart w:id="11" w:name="_Toc22251"/>
      <w:bookmarkStart w:id="12" w:name="_Toc69227022"/>
      <w:bookmarkStart w:id="13" w:name="_Toc68279258"/>
      <w:bookmarkStart w:id="14" w:name="_Toc1769128971_WPSOffice_Level2"/>
      <w:bookmarkStart w:id="15" w:name="_Toc69226843"/>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0"/>
          <w:sz w:val="32"/>
          <w:szCs w:val="32"/>
          <w:highlight w:val="none"/>
          <w:shd w:val="clear" w:color="auto" w:fill="auto"/>
          <w:lang w:val="zh-CN" w:bidi="zh-CN"/>
        </w:rPr>
      </w:pPr>
      <w:r>
        <w:rPr>
          <w:rFonts w:hint="eastAsia" w:ascii="仿宋" w:hAnsi="仿宋" w:eastAsia="仿宋" w:cs="仿宋"/>
          <w:color w:val="auto"/>
          <w:sz w:val="32"/>
          <w:szCs w:val="32"/>
          <w:highlight w:val="none"/>
          <w:shd w:val="clear" w:color="auto" w:fill="auto"/>
        </w:rPr>
        <w:t>持续推动全区市场准入环境、市场竞争环境、消费环境、质量发展环境建设，不断创新完善重点领域</w:t>
      </w:r>
      <w:r>
        <w:rPr>
          <w:rFonts w:hint="eastAsia" w:ascii="仿宋" w:hAnsi="仿宋" w:eastAsia="仿宋" w:cs="仿宋"/>
          <w:color w:val="auto"/>
          <w:sz w:val="32"/>
          <w:szCs w:val="32"/>
          <w:highlight w:val="none"/>
          <w:shd w:val="clear" w:color="auto" w:fill="auto"/>
          <w:lang w:eastAsia="zh-CN"/>
        </w:rPr>
        <w:t>市场监管</w:t>
      </w:r>
      <w:r>
        <w:rPr>
          <w:rFonts w:hint="eastAsia" w:ascii="仿宋" w:hAnsi="仿宋" w:eastAsia="仿宋" w:cs="仿宋"/>
          <w:color w:val="auto"/>
          <w:sz w:val="32"/>
          <w:szCs w:val="32"/>
          <w:highlight w:val="none"/>
          <w:shd w:val="clear" w:color="auto" w:fill="auto"/>
        </w:rPr>
        <w:t>体系、</w:t>
      </w:r>
      <w:r>
        <w:rPr>
          <w:rFonts w:hint="eastAsia" w:ascii="仿宋" w:hAnsi="仿宋" w:eastAsia="仿宋" w:cs="仿宋"/>
          <w:color w:val="auto"/>
          <w:sz w:val="32"/>
          <w:szCs w:val="32"/>
          <w:highlight w:val="none"/>
          <w:shd w:val="clear" w:color="auto" w:fill="auto"/>
          <w:lang w:eastAsia="zh-CN"/>
        </w:rPr>
        <w:t>综合</w:t>
      </w:r>
      <w:r>
        <w:rPr>
          <w:rFonts w:hint="eastAsia" w:ascii="仿宋" w:hAnsi="仿宋" w:eastAsia="仿宋" w:cs="仿宋"/>
          <w:color w:val="auto"/>
          <w:sz w:val="32"/>
          <w:szCs w:val="32"/>
          <w:highlight w:val="none"/>
          <w:shd w:val="clear" w:color="auto" w:fill="auto"/>
        </w:rPr>
        <w:t>执法体系、协同</w:t>
      </w:r>
      <w:r>
        <w:rPr>
          <w:rFonts w:hint="eastAsia" w:ascii="仿宋" w:hAnsi="仿宋" w:eastAsia="仿宋" w:cs="仿宋"/>
          <w:color w:val="auto"/>
          <w:sz w:val="32"/>
          <w:szCs w:val="32"/>
          <w:highlight w:val="none"/>
          <w:shd w:val="clear" w:color="auto" w:fill="auto"/>
          <w:lang w:eastAsia="zh-CN"/>
        </w:rPr>
        <w:t>共治</w:t>
      </w:r>
      <w:r>
        <w:rPr>
          <w:rFonts w:hint="eastAsia" w:ascii="仿宋" w:hAnsi="仿宋" w:eastAsia="仿宋" w:cs="仿宋"/>
          <w:color w:val="auto"/>
          <w:sz w:val="32"/>
          <w:szCs w:val="32"/>
          <w:highlight w:val="none"/>
          <w:shd w:val="clear" w:color="auto" w:fill="auto"/>
        </w:rPr>
        <w:t>体系、基础支撑体系建设，实现市场监管事业高质量发展。</w:t>
      </w:r>
      <w:bookmarkEnd w:id="11"/>
    </w:p>
    <w:p>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0"/>
        <w:rPr>
          <w:rFonts w:hint="eastAsia" w:ascii="楷体" w:hAnsi="楷体" w:eastAsia="楷体" w:cs="楷体"/>
          <w:b w:val="0"/>
          <w:bCs w:val="0"/>
          <w:color w:val="auto"/>
          <w:kern w:val="0"/>
          <w:sz w:val="32"/>
          <w:szCs w:val="32"/>
          <w:highlight w:val="none"/>
          <w:shd w:val="clear" w:color="auto" w:fill="auto"/>
          <w:lang w:val="zh-CN" w:bidi="zh-CN"/>
        </w:rPr>
      </w:pPr>
      <w:bookmarkStart w:id="16" w:name="_Toc10157"/>
      <w:bookmarkStart w:id="17" w:name="_Toc72706161"/>
      <w:r>
        <w:rPr>
          <w:rFonts w:hint="eastAsia" w:ascii="楷体" w:hAnsi="楷体" w:eastAsia="楷体" w:cs="楷体"/>
          <w:b w:val="0"/>
          <w:bCs w:val="0"/>
          <w:color w:val="auto"/>
          <w:kern w:val="0"/>
          <w:sz w:val="32"/>
          <w:szCs w:val="32"/>
          <w:highlight w:val="none"/>
          <w:shd w:val="clear" w:color="auto" w:fill="auto"/>
          <w:lang w:val="en-US" w:eastAsia="zh-CN" w:bidi="zh-CN"/>
        </w:rPr>
        <w:t xml:space="preserve">第一节  </w:t>
      </w:r>
      <w:r>
        <w:rPr>
          <w:rFonts w:hint="eastAsia" w:ascii="楷体" w:hAnsi="楷体" w:eastAsia="楷体" w:cs="楷体"/>
          <w:b w:val="0"/>
          <w:bCs w:val="0"/>
          <w:color w:val="auto"/>
          <w:kern w:val="0"/>
          <w:sz w:val="32"/>
          <w:szCs w:val="32"/>
          <w:highlight w:val="none"/>
          <w:shd w:val="clear" w:color="auto" w:fill="auto"/>
          <w:lang w:val="zh-CN" w:bidi="zh-CN"/>
        </w:rPr>
        <w:t>营造宽松便捷的市场准入环境</w:t>
      </w:r>
      <w:bookmarkEnd w:id="12"/>
      <w:bookmarkEnd w:id="13"/>
      <w:bookmarkEnd w:id="14"/>
      <w:bookmarkEnd w:id="15"/>
      <w:bookmarkEnd w:id="16"/>
      <w:bookmarkEnd w:id="17"/>
    </w:p>
    <w:p>
      <w:pPr>
        <w:pStyle w:val="3"/>
        <w:keepNext w:val="0"/>
        <w:keepLines w:val="0"/>
        <w:pageBreakBefore w:val="0"/>
        <w:widowControl w:val="0"/>
        <w:kinsoku/>
        <w:wordWrap/>
        <w:overflowPunct/>
        <w:topLinePunct/>
        <w:autoSpaceDE/>
        <w:autoSpaceDN/>
        <w:bidi w:val="0"/>
        <w:adjustRightInd/>
        <w:snapToGrid/>
        <w:spacing w:line="560" w:lineRule="exact"/>
        <w:ind w:firstLine="640"/>
        <w:textAlignment w:val="auto"/>
        <w:rPr>
          <w:rFonts w:hint="eastAsia" w:ascii="仿宋" w:hAnsi="仿宋" w:eastAsia="仿宋" w:cs="仿宋"/>
          <w:b w:val="0"/>
          <w:bCs w:val="0"/>
          <w:color w:val="auto"/>
          <w:highlight w:val="none"/>
          <w:shd w:val="clear" w:color="auto" w:fill="auto"/>
        </w:rPr>
      </w:pPr>
      <w:r>
        <w:rPr>
          <w:rFonts w:hint="eastAsia" w:ascii="仿宋" w:hAnsi="仿宋" w:eastAsia="仿宋" w:cs="仿宋"/>
          <w:b w:val="0"/>
          <w:bCs w:val="0"/>
          <w:color w:val="auto"/>
          <w:highlight w:val="none"/>
          <w:shd w:val="clear" w:color="auto" w:fill="auto"/>
        </w:rPr>
        <w:t>持续提高登记便利化水平。实施统一的市场</w:t>
      </w:r>
      <w:r>
        <w:rPr>
          <w:rFonts w:hint="eastAsia" w:ascii="仿宋" w:hAnsi="仿宋" w:eastAsia="仿宋" w:cs="仿宋"/>
          <w:b w:val="0"/>
          <w:bCs w:val="0"/>
          <w:color w:val="auto"/>
          <w:highlight w:val="none"/>
          <w:shd w:val="clear" w:color="auto" w:fill="auto"/>
          <w:lang w:eastAsia="zh-CN"/>
        </w:rPr>
        <w:t>监管审批许可</w:t>
      </w:r>
      <w:r>
        <w:rPr>
          <w:rFonts w:hint="eastAsia" w:ascii="仿宋" w:hAnsi="仿宋" w:eastAsia="仿宋" w:cs="仿宋"/>
          <w:b w:val="0"/>
          <w:bCs w:val="0"/>
          <w:color w:val="auto"/>
          <w:highlight w:val="none"/>
          <w:shd w:val="clear" w:color="auto" w:fill="auto"/>
        </w:rPr>
        <w:t>准入负面清单制度，</w:t>
      </w:r>
      <w:r>
        <w:rPr>
          <w:rFonts w:hint="eastAsia" w:ascii="仿宋" w:hAnsi="仿宋" w:eastAsia="仿宋" w:cs="仿宋"/>
          <w:b w:val="0"/>
          <w:bCs w:val="0"/>
          <w:color w:val="auto"/>
          <w:highlight w:val="none"/>
          <w:shd w:val="clear" w:color="auto" w:fill="auto"/>
          <w:lang w:eastAsia="zh-CN"/>
        </w:rPr>
        <w:t>推进“非禁即入”普遍落实，</w:t>
      </w:r>
      <w:r>
        <w:rPr>
          <w:rFonts w:hint="eastAsia" w:ascii="仿宋" w:hAnsi="仿宋" w:eastAsia="仿宋" w:cs="仿宋"/>
          <w:b w:val="0"/>
          <w:bCs w:val="0"/>
          <w:color w:val="auto"/>
          <w:highlight w:val="none"/>
          <w:shd w:val="clear" w:color="auto" w:fill="auto"/>
        </w:rPr>
        <w:t>提升准入政策透明度。建立市场</w:t>
      </w:r>
      <w:r>
        <w:rPr>
          <w:rFonts w:hint="eastAsia" w:ascii="仿宋" w:hAnsi="仿宋" w:eastAsia="仿宋" w:cs="仿宋"/>
          <w:b w:val="0"/>
          <w:bCs w:val="0"/>
          <w:color w:val="auto"/>
          <w:highlight w:val="none"/>
          <w:shd w:val="clear" w:color="auto" w:fill="auto"/>
          <w:lang w:eastAsia="zh-CN"/>
        </w:rPr>
        <w:t>监管领域</w:t>
      </w:r>
      <w:r>
        <w:rPr>
          <w:rFonts w:hint="eastAsia" w:ascii="仿宋" w:hAnsi="仿宋" w:eastAsia="仿宋" w:cs="仿宋"/>
          <w:b w:val="0"/>
          <w:bCs w:val="0"/>
          <w:color w:val="auto"/>
          <w:highlight w:val="none"/>
          <w:shd w:val="clear" w:color="auto" w:fill="auto"/>
        </w:rPr>
        <w:t>准入隐性壁垒台账，定期排查、清理。</w:t>
      </w:r>
      <w:r>
        <w:rPr>
          <w:rFonts w:hint="eastAsia" w:ascii="仿宋" w:hAnsi="仿宋" w:eastAsia="仿宋" w:cs="仿宋"/>
          <w:b w:val="0"/>
          <w:bCs w:val="0"/>
          <w:color w:val="auto"/>
          <w:highlight w:val="none"/>
          <w:shd w:val="clear" w:color="auto" w:fill="auto"/>
          <w:lang w:eastAsia="zh-CN"/>
        </w:rPr>
        <w:t>推动商事主体登记、</w:t>
      </w:r>
      <w:r>
        <w:rPr>
          <w:rFonts w:hint="eastAsia" w:ascii="仿宋" w:hAnsi="仿宋" w:eastAsia="仿宋" w:cs="仿宋"/>
          <w:b w:val="0"/>
          <w:bCs w:val="0"/>
          <w:color w:val="auto"/>
          <w:highlight w:val="none"/>
          <w:shd w:val="clear" w:color="auto" w:fill="auto"/>
        </w:rPr>
        <w:t>名称自主申报、全程电子化登记</w:t>
      </w:r>
      <w:r>
        <w:rPr>
          <w:rFonts w:hint="eastAsia" w:ascii="仿宋" w:hAnsi="仿宋" w:eastAsia="仿宋" w:cs="仿宋"/>
          <w:b w:val="0"/>
          <w:bCs w:val="0"/>
          <w:color w:val="auto"/>
          <w:highlight w:val="none"/>
          <w:shd w:val="clear" w:color="auto" w:fill="auto"/>
          <w:lang w:eastAsia="zh-CN"/>
        </w:rPr>
        <w:t>、经营范围规范化</w:t>
      </w:r>
      <w:r>
        <w:rPr>
          <w:rFonts w:hint="eastAsia" w:ascii="仿宋" w:hAnsi="仿宋" w:eastAsia="仿宋" w:cs="仿宋"/>
          <w:b w:val="0"/>
          <w:bCs w:val="0"/>
          <w:color w:val="auto"/>
          <w:highlight w:val="none"/>
          <w:shd w:val="clear" w:color="auto" w:fill="auto"/>
        </w:rPr>
        <w:t>等改革，持续深化“一网通办”，推进“跨省通办”，拓展电子证照应用领域并探索全国互通互认模式。优化企业开办服务，</w:t>
      </w:r>
      <w:r>
        <w:rPr>
          <w:rFonts w:hint="eastAsia" w:ascii="仿宋" w:hAnsi="仿宋" w:eastAsia="仿宋" w:cs="仿宋"/>
          <w:b w:val="0"/>
          <w:bCs w:val="0"/>
          <w:color w:val="auto"/>
          <w:highlight w:val="none"/>
          <w:shd w:val="clear" w:color="auto" w:fill="auto"/>
          <w:lang w:eastAsia="zh-CN"/>
        </w:rPr>
        <w:t>建成企业开办全流程掌上办系统，实现“零见面、零等待、零费用”。</w:t>
      </w:r>
      <w:r>
        <w:rPr>
          <w:rFonts w:hint="eastAsia" w:ascii="仿宋" w:hAnsi="仿宋" w:eastAsia="仿宋" w:cs="仿宋"/>
          <w:b w:val="0"/>
          <w:bCs w:val="0"/>
          <w:color w:val="auto"/>
          <w:highlight w:val="none"/>
          <w:shd w:val="clear" w:color="auto" w:fill="auto"/>
        </w:rPr>
        <w:t>严格执行市场主体登记业务规范和数据标准</w:t>
      </w:r>
      <w:r>
        <w:rPr>
          <w:rFonts w:hint="eastAsia" w:ascii="仿宋" w:hAnsi="仿宋" w:eastAsia="仿宋" w:cs="仿宋"/>
          <w:b w:val="0"/>
          <w:bCs w:val="0"/>
          <w:color w:val="auto"/>
          <w:highlight w:val="none"/>
          <w:shd w:val="clear" w:color="auto" w:fill="auto"/>
          <w:lang w:eastAsia="zh-CN"/>
        </w:rPr>
        <w:t>，提升企业办事的便利度和体验感。培育数量更多、质量更优的市场主体，不断提高市场主体活跃度，</w:t>
      </w:r>
      <w:r>
        <w:rPr>
          <w:rFonts w:hint="eastAsia" w:ascii="仿宋" w:hAnsi="仿宋" w:eastAsia="仿宋" w:cs="仿宋"/>
          <w:b w:val="0"/>
          <w:bCs w:val="0"/>
          <w:color w:val="auto"/>
          <w:highlight w:val="none"/>
          <w:shd w:val="clear" w:color="auto" w:fill="auto"/>
        </w:rPr>
        <w:t>营造</w:t>
      </w:r>
      <w:r>
        <w:rPr>
          <w:rFonts w:hint="eastAsia" w:ascii="仿宋" w:hAnsi="仿宋" w:eastAsia="仿宋" w:cs="仿宋"/>
          <w:b w:val="0"/>
          <w:bCs w:val="0"/>
          <w:color w:val="auto"/>
          <w:highlight w:val="none"/>
          <w:shd w:val="clear" w:color="auto" w:fill="auto"/>
          <w:lang w:eastAsia="zh-CN"/>
        </w:rPr>
        <w:t>更加</w:t>
      </w:r>
      <w:r>
        <w:rPr>
          <w:rFonts w:hint="eastAsia" w:ascii="仿宋" w:hAnsi="仿宋" w:eastAsia="仿宋" w:cs="仿宋"/>
          <w:b w:val="0"/>
          <w:bCs w:val="0"/>
          <w:color w:val="auto"/>
          <w:highlight w:val="none"/>
          <w:shd w:val="clear" w:color="auto" w:fill="auto"/>
        </w:rPr>
        <w:t>良好的</w:t>
      </w:r>
      <w:r>
        <w:rPr>
          <w:rFonts w:hint="eastAsia" w:ascii="仿宋" w:hAnsi="仿宋" w:eastAsia="仿宋" w:cs="仿宋"/>
          <w:b w:val="0"/>
          <w:bCs w:val="0"/>
          <w:color w:val="auto"/>
          <w:highlight w:val="none"/>
          <w:shd w:val="clear" w:color="auto" w:fill="auto"/>
          <w:lang w:eastAsia="zh-CN"/>
        </w:rPr>
        <w:t>市场准入</w:t>
      </w:r>
      <w:r>
        <w:rPr>
          <w:rFonts w:hint="eastAsia" w:ascii="仿宋" w:hAnsi="仿宋" w:eastAsia="仿宋" w:cs="仿宋"/>
          <w:b w:val="0"/>
          <w:bCs w:val="0"/>
          <w:color w:val="auto"/>
          <w:highlight w:val="none"/>
          <w:shd w:val="clear" w:color="auto" w:fill="auto"/>
        </w:rPr>
        <w:t>环境。</w:t>
      </w:r>
    </w:p>
    <w:p>
      <w:pPr>
        <w:pStyle w:val="3"/>
        <w:keepNext w:val="0"/>
        <w:keepLines w:val="0"/>
        <w:pageBreakBefore w:val="0"/>
        <w:widowControl w:val="0"/>
        <w:kinsoku/>
        <w:wordWrap/>
        <w:overflowPunct/>
        <w:topLinePunct/>
        <w:autoSpaceDE/>
        <w:autoSpaceDN/>
        <w:bidi w:val="0"/>
        <w:adjustRightInd/>
        <w:snapToGrid/>
        <w:spacing w:line="560" w:lineRule="exact"/>
        <w:ind w:firstLine="640"/>
        <w:textAlignment w:val="auto"/>
        <w:rPr>
          <w:rFonts w:hint="eastAsia" w:ascii="仿宋" w:hAnsi="仿宋" w:eastAsia="仿宋" w:cs="仿宋"/>
          <w:b w:val="0"/>
          <w:bCs w:val="0"/>
          <w:color w:val="auto"/>
          <w:highlight w:val="none"/>
          <w:shd w:val="clear" w:color="auto" w:fill="auto"/>
        </w:rPr>
      </w:pPr>
      <w:r>
        <w:rPr>
          <w:rFonts w:hint="eastAsia" w:ascii="仿宋" w:hAnsi="仿宋" w:eastAsia="仿宋" w:cs="仿宋"/>
          <w:b w:val="0"/>
          <w:bCs w:val="0"/>
          <w:color w:val="auto"/>
          <w:highlight w:val="none"/>
          <w:shd w:val="clear" w:color="auto" w:fill="auto"/>
        </w:rPr>
        <w:t>完善市场主体退出制度。建立便</w:t>
      </w:r>
      <w:r>
        <w:rPr>
          <w:rFonts w:hint="eastAsia" w:ascii="仿宋" w:hAnsi="仿宋" w:eastAsia="仿宋" w:cs="仿宋"/>
          <w:b w:val="0"/>
          <w:bCs w:val="0"/>
          <w:color w:val="auto"/>
          <w:highlight w:val="none"/>
          <w:shd w:val="clear" w:color="auto" w:fill="auto"/>
          <w:lang w:eastAsia="zh-CN"/>
        </w:rPr>
        <w:t>利</w:t>
      </w:r>
      <w:r>
        <w:rPr>
          <w:rFonts w:hint="eastAsia" w:ascii="仿宋" w:hAnsi="仿宋" w:eastAsia="仿宋" w:cs="仿宋"/>
          <w:b w:val="0"/>
          <w:bCs w:val="0"/>
          <w:color w:val="auto"/>
          <w:highlight w:val="none"/>
          <w:shd w:val="clear" w:color="auto" w:fill="auto"/>
        </w:rPr>
        <w:t>、高效、有序的市场主体退出制度。规范市场主体退出程序，优化企业注销“一网通”平台，简化普通注销程序，提升企业注销便利化水平。扩大简易注销适用范围，降低市场主体退出成本。</w:t>
      </w:r>
    </w:p>
    <w:p>
      <w:pPr>
        <w:pStyle w:val="3"/>
        <w:keepNext w:val="0"/>
        <w:keepLines w:val="0"/>
        <w:pageBreakBefore w:val="0"/>
        <w:widowControl w:val="0"/>
        <w:kinsoku/>
        <w:wordWrap/>
        <w:overflowPunct/>
        <w:topLinePunct/>
        <w:autoSpaceDE/>
        <w:autoSpaceDN/>
        <w:bidi w:val="0"/>
        <w:adjustRightInd/>
        <w:snapToGrid/>
        <w:spacing w:after="313" w:afterLines="100" w:line="560" w:lineRule="exact"/>
        <w:ind w:firstLine="641"/>
        <w:textAlignment w:val="auto"/>
        <w:rPr>
          <w:rFonts w:hint="eastAsia" w:ascii="仿宋" w:hAnsi="仿宋" w:eastAsia="仿宋" w:cs="仿宋"/>
          <w:b w:val="0"/>
          <w:bCs w:val="0"/>
          <w:color w:val="auto"/>
          <w:highlight w:val="none"/>
          <w:shd w:val="clear" w:color="auto" w:fill="auto"/>
        </w:rPr>
      </w:pPr>
      <w:r>
        <w:rPr>
          <w:rFonts w:hint="eastAsia" w:ascii="仿宋" w:hAnsi="仿宋" w:eastAsia="仿宋" w:cs="仿宋"/>
          <w:b w:val="0"/>
          <w:bCs w:val="0"/>
          <w:color w:val="auto"/>
          <w:highlight w:val="none"/>
          <w:shd w:val="clear" w:color="auto" w:fill="auto"/>
        </w:rPr>
        <w:t>不断提高审批许可效能。巩固和深化“证照分离”改革成果，继续深化行政审批制度改革，持续精简行政许可事项，加强事中事后监管，实现“一件事一次办”，着力解决“准入不准营”问题。</w:t>
      </w:r>
      <w:r>
        <w:rPr>
          <w:rFonts w:hint="eastAsia" w:ascii="仿宋" w:hAnsi="仿宋" w:eastAsia="仿宋" w:cs="仿宋"/>
          <w:b w:val="0"/>
          <w:bCs w:val="0"/>
          <w:color w:val="auto"/>
          <w:highlight w:val="none"/>
          <w:shd w:val="clear" w:color="auto" w:fill="auto"/>
          <w:lang w:eastAsia="zh-CN"/>
        </w:rPr>
        <w:t>部分行政许可事项</w:t>
      </w:r>
      <w:r>
        <w:rPr>
          <w:rFonts w:hint="eastAsia" w:ascii="仿宋" w:hAnsi="仿宋" w:eastAsia="仿宋" w:cs="仿宋"/>
          <w:b w:val="0"/>
          <w:bCs w:val="0"/>
          <w:color w:val="auto"/>
          <w:highlight w:val="none"/>
          <w:shd w:val="clear" w:color="auto" w:fill="auto"/>
        </w:rPr>
        <w:t>探索实行“先证后核”“一单受理”、容缺受理机制。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8"/>
                <w:szCs w:val="28"/>
                <w:vertAlign w:val="baseline"/>
              </w:rPr>
            </w:pPr>
            <w:r>
              <w:rPr>
                <w:rFonts w:hint="eastAsia" w:ascii="黑体" w:hAnsi="黑体" w:eastAsia="黑体" w:cs="黑体"/>
                <w:b w:val="0"/>
                <w:bCs w:val="0"/>
                <w:color w:val="auto"/>
                <w:sz w:val="32"/>
                <w:szCs w:val="32"/>
              </w:rPr>
              <w:t>专栏</w:t>
            </w:r>
            <w:r>
              <w:rPr>
                <w:rFonts w:hint="eastAsia" w:ascii="黑体" w:hAnsi="黑体" w:eastAsia="黑体" w:cs="黑体"/>
                <w:b w:val="0"/>
                <w:bCs w:val="0"/>
                <w:color w:val="auto"/>
                <w:sz w:val="32"/>
                <w:szCs w:val="32"/>
                <w:lang w:val="en-US" w:eastAsia="zh-CN"/>
              </w:rPr>
              <w:t xml:space="preserve">2  </w:t>
            </w:r>
            <w:r>
              <w:rPr>
                <w:rFonts w:hint="eastAsia" w:ascii="黑体" w:hAnsi="黑体" w:eastAsia="黑体" w:cs="黑体"/>
                <w:b w:val="0"/>
                <w:bCs w:val="0"/>
                <w:color w:val="auto"/>
                <w:sz w:val="32"/>
                <w:szCs w:val="32"/>
                <w:lang w:eastAsia="zh-CN"/>
              </w:rPr>
              <w:t>优化</w:t>
            </w:r>
            <w:r>
              <w:rPr>
                <w:rFonts w:hint="eastAsia" w:ascii="黑体" w:hAnsi="黑体" w:eastAsia="黑体" w:cs="黑体"/>
                <w:b w:val="0"/>
                <w:bCs w:val="0"/>
                <w:color w:val="auto"/>
                <w:sz w:val="32"/>
                <w:szCs w:val="32"/>
              </w:rPr>
              <w:t>市场</w:t>
            </w:r>
            <w:r>
              <w:rPr>
                <w:rFonts w:hint="eastAsia" w:ascii="黑体" w:hAnsi="黑体" w:eastAsia="黑体" w:cs="黑体"/>
                <w:b w:val="0"/>
                <w:bCs w:val="0"/>
                <w:color w:val="auto"/>
                <w:sz w:val="32"/>
                <w:szCs w:val="32"/>
                <w:lang w:eastAsia="zh-CN"/>
              </w:rPr>
              <w:t>准入</w:t>
            </w:r>
            <w:r>
              <w:rPr>
                <w:rFonts w:hint="eastAsia" w:ascii="黑体" w:hAnsi="黑体" w:eastAsia="黑体" w:cs="黑体"/>
                <w:b w:val="0"/>
                <w:bCs w:val="0"/>
                <w:color w:val="auto"/>
                <w:sz w:val="32"/>
                <w:szCs w:val="32"/>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仿宋" w:hAnsi="仿宋" w:eastAsia="仿宋" w:cs="仿宋"/>
                <w:b w:val="0"/>
                <w:bCs w:val="0"/>
                <w:color w:val="auto"/>
                <w:sz w:val="28"/>
                <w:szCs w:val="28"/>
              </w:rPr>
            </w:pPr>
            <w:r>
              <w:rPr>
                <w:rFonts w:hint="eastAsia" w:ascii="楷体" w:hAnsi="楷体" w:eastAsia="楷体" w:cs="楷体"/>
                <w:b w:val="0"/>
                <w:bCs w:val="0"/>
                <w:color w:val="auto"/>
                <w:sz w:val="28"/>
                <w:szCs w:val="28"/>
              </w:rPr>
              <w:t>1.精简企业开办流程。</w:t>
            </w:r>
            <w:r>
              <w:rPr>
                <w:rFonts w:hint="eastAsia" w:ascii="仿宋" w:hAnsi="仿宋" w:eastAsia="仿宋" w:cs="仿宋"/>
                <w:b w:val="0"/>
                <w:bCs w:val="0"/>
                <w:color w:val="auto"/>
                <w:sz w:val="28"/>
                <w:szCs w:val="28"/>
              </w:rPr>
              <w:t>将首次办理社保登记、税务信息采集、住房公积金企业缴存登记与企业登记注册合并为一个环节，一次提交申请材料，同步办结开办事项，推进“一业一证”改革。</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仿宋" w:hAnsi="仿宋" w:eastAsia="仿宋" w:cs="仿宋"/>
                <w:b w:val="0"/>
                <w:bCs w:val="0"/>
                <w:color w:val="auto"/>
                <w:sz w:val="28"/>
                <w:szCs w:val="28"/>
              </w:rPr>
            </w:pPr>
            <w:r>
              <w:rPr>
                <w:rFonts w:hint="eastAsia" w:ascii="楷体" w:hAnsi="楷体" w:eastAsia="楷体" w:cs="楷体"/>
                <w:b w:val="0"/>
                <w:bCs w:val="0"/>
                <w:color w:val="auto"/>
                <w:sz w:val="28"/>
                <w:szCs w:val="28"/>
              </w:rPr>
              <w:t>2.压减企业开办耗时。</w:t>
            </w:r>
            <w:r>
              <w:rPr>
                <w:rFonts w:hint="eastAsia" w:ascii="仿宋" w:hAnsi="仿宋" w:eastAsia="仿宋" w:cs="仿宋"/>
                <w:b w:val="0"/>
                <w:bCs w:val="0"/>
                <w:color w:val="auto"/>
                <w:sz w:val="28"/>
                <w:szCs w:val="28"/>
              </w:rPr>
              <w:t>将企业开办时间压缩至1 个工作日内办结。进一步实现全区印章刻制业治安管理信息系统与政务“一网通”对接，提高银行开户预约办理效率。</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仿宋" w:hAnsi="仿宋" w:eastAsia="仿宋" w:cs="仿宋"/>
                <w:b w:val="0"/>
                <w:bCs w:val="0"/>
                <w:color w:val="auto"/>
                <w:sz w:val="28"/>
                <w:szCs w:val="28"/>
              </w:rPr>
            </w:pPr>
            <w:r>
              <w:rPr>
                <w:rFonts w:hint="eastAsia" w:ascii="楷体" w:hAnsi="楷体" w:eastAsia="楷体" w:cs="楷体"/>
                <w:b w:val="0"/>
                <w:bCs w:val="0"/>
                <w:color w:val="auto"/>
                <w:sz w:val="28"/>
                <w:szCs w:val="28"/>
              </w:rPr>
              <w:t>3.降低开办企业费用。</w:t>
            </w:r>
            <w:r>
              <w:rPr>
                <w:rFonts w:hint="eastAsia" w:ascii="仿宋" w:hAnsi="仿宋" w:eastAsia="仿宋" w:cs="仿宋"/>
                <w:b w:val="0"/>
                <w:bCs w:val="0"/>
                <w:color w:val="auto"/>
                <w:sz w:val="28"/>
                <w:szCs w:val="28"/>
              </w:rPr>
              <w:t>取消企业设立登记与社保登记、申领发票环节行政收费，降低企业开办成本。</w:t>
            </w:r>
          </w:p>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 w:hAnsi="仿宋" w:eastAsia="仿宋" w:cs="仿宋"/>
                <w:sz w:val="28"/>
                <w:szCs w:val="28"/>
                <w:vertAlign w:val="baseline"/>
              </w:rPr>
            </w:pPr>
            <w:r>
              <w:rPr>
                <w:rFonts w:hint="eastAsia" w:ascii="楷体" w:hAnsi="楷体" w:eastAsia="楷体" w:cs="楷体"/>
                <w:b w:val="0"/>
                <w:bCs w:val="0"/>
                <w:color w:val="auto"/>
                <w:kern w:val="2"/>
                <w:sz w:val="28"/>
                <w:szCs w:val="28"/>
                <w:lang w:val="en-US" w:eastAsia="zh-CN" w:bidi="ar-SA"/>
              </w:rPr>
              <w:t>4.提升开办企业便利度。</w:t>
            </w:r>
            <w:r>
              <w:rPr>
                <w:rFonts w:hint="eastAsia" w:ascii="仿宋" w:hAnsi="仿宋" w:eastAsia="仿宋" w:cs="仿宋"/>
                <w:b w:val="0"/>
                <w:bCs w:val="0"/>
                <w:color w:val="auto"/>
                <w:kern w:val="0"/>
                <w:sz w:val="28"/>
                <w:szCs w:val="28"/>
              </w:rPr>
              <w:t>落实“一门”“一网”“一次”行政审批服务，推行企业登记“全程电子化”。深化“多证合一”举措，推广“政银合作”免费代办模式。</w:t>
            </w:r>
          </w:p>
        </w:tc>
      </w:tr>
    </w:tbl>
    <w:p>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0"/>
        <w:rPr>
          <w:rFonts w:hint="eastAsia" w:ascii="楷体" w:hAnsi="楷体" w:eastAsia="楷体" w:cs="楷体"/>
          <w:b w:val="0"/>
          <w:bCs w:val="0"/>
          <w:color w:val="auto"/>
          <w:kern w:val="0"/>
          <w:sz w:val="32"/>
          <w:szCs w:val="32"/>
          <w:highlight w:val="none"/>
          <w:shd w:val="clear" w:color="auto" w:fill="auto"/>
          <w:lang w:val="en-US" w:eastAsia="zh-CN" w:bidi="zh-CN"/>
        </w:rPr>
      </w:pPr>
      <w:bookmarkStart w:id="18" w:name="_Toc69226844"/>
      <w:bookmarkStart w:id="19" w:name="_Toc17884"/>
      <w:bookmarkStart w:id="20" w:name="_Toc69227023"/>
      <w:bookmarkStart w:id="21" w:name="_Toc72706162"/>
      <w:bookmarkStart w:id="22" w:name="_Toc68279259"/>
      <w:bookmarkStart w:id="23" w:name="_Toc1839522882_WPSOffice_Level2"/>
      <w:r>
        <w:rPr>
          <w:rFonts w:hint="eastAsia" w:ascii="楷体" w:hAnsi="楷体" w:eastAsia="楷体" w:cs="楷体"/>
          <w:b w:val="0"/>
          <w:bCs w:val="0"/>
          <w:color w:val="auto"/>
          <w:kern w:val="0"/>
          <w:sz w:val="32"/>
          <w:szCs w:val="32"/>
          <w:highlight w:val="none"/>
          <w:shd w:val="clear" w:color="auto" w:fill="auto"/>
          <w:lang w:val="en-US" w:eastAsia="zh-CN" w:bidi="zh-CN"/>
        </w:rPr>
        <w:t>第二节  营造公平有序的市场竞争环境</w:t>
      </w:r>
      <w:bookmarkEnd w:id="18"/>
      <w:bookmarkEnd w:id="19"/>
      <w:bookmarkEnd w:id="20"/>
      <w:bookmarkEnd w:id="21"/>
    </w:p>
    <w:p>
      <w:pPr>
        <w:pStyle w:val="3"/>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textAlignment w:val="auto"/>
        <w:rPr>
          <w:rFonts w:hint="eastAsia" w:ascii="仿宋" w:hAnsi="仿宋" w:eastAsia="仿宋" w:cs="仿宋"/>
          <w:b w:val="0"/>
          <w:bCs w:val="0"/>
          <w:color w:val="auto"/>
          <w:kern w:val="0"/>
          <w:highlight w:val="none"/>
          <w:shd w:val="clear" w:color="auto" w:fill="auto"/>
        </w:rPr>
      </w:pPr>
      <w:r>
        <w:rPr>
          <w:rFonts w:hint="eastAsia" w:ascii="仿宋" w:hAnsi="仿宋" w:eastAsia="仿宋" w:cs="仿宋"/>
          <w:b w:val="0"/>
          <w:bCs w:val="0"/>
          <w:color w:val="auto"/>
          <w:kern w:val="0"/>
          <w:highlight w:val="none"/>
          <w:shd w:val="clear" w:color="auto" w:fill="auto"/>
          <w:lang w:bidi="ar"/>
        </w:rPr>
        <w:t>深入实施公平竞争审查制度。</w:t>
      </w:r>
      <w:r>
        <w:rPr>
          <w:rFonts w:hint="eastAsia" w:ascii="仿宋" w:hAnsi="仿宋" w:eastAsia="仿宋" w:cs="仿宋"/>
          <w:b w:val="0"/>
          <w:bCs w:val="0"/>
          <w:color w:val="auto"/>
          <w:kern w:val="0"/>
          <w:highlight w:val="none"/>
          <w:shd w:val="clear" w:color="auto" w:fill="auto"/>
        </w:rPr>
        <w:t>健全公平竞争审查机制，强化制度刚性约束，将公平竞争审查工作纳入依法行政、法治政府建设等考核评价体系。充分发挥公平竞争审查联席会议制度作用，研究建立配套规则，推动公平竞争审查制度全面落实。统筹做好增量审查与存量清理，为各类市场主体公平参与市场竞争提供制度保障。</w:t>
      </w:r>
    </w:p>
    <w:p>
      <w:pPr>
        <w:pStyle w:val="3"/>
        <w:keepNext w:val="0"/>
        <w:keepLines w:val="0"/>
        <w:pageBreakBefore w:val="0"/>
        <w:widowControl w:val="0"/>
        <w:kinsoku/>
        <w:wordWrap/>
        <w:overflowPunct/>
        <w:topLinePunct/>
        <w:autoSpaceDE/>
        <w:autoSpaceDN/>
        <w:bidi w:val="0"/>
        <w:adjustRightInd/>
        <w:spacing w:line="580" w:lineRule="exact"/>
        <w:ind w:left="0" w:leftChars="0" w:right="0" w:rightChars="0" w:firstLine="640"/>
        <w:textAlignment w:val="auto"/>
        <w:rPr>
          <w:rFonts w:hint="eastAsia" w:ascii="仿宋" w:hAnsi="仿宋" w:eastAsia="仿宋" w:cs="仿宋"/>
          <w:b w:val="0"/>
          <w:bCs w:val="0"/>
          <w:color w:val="auto"/>
          <w:kern w:val="0"/>
          <w:highlight w:val="none"/>
          <w:shd w:val="clear" w:color="auto" w:fill="auto"/>
        </w:rPr>
      </w:pPr>
      <w:r>
        <w:rPr>
          <w:rFonts w:hint="eastAsia" w:ascii="仿宋" w:hAnsi="仿宋" w:eastAsia="仿宋" w:cs="仿宋"/>
          <w:b w:val="0"/>
          <w:bCs w:val="0"/>
          <w:color w:val="auto"/>
          <w:kern w:val="0"/>
          <w:highlight w:val="none"/>
          <w:shd w:val="clear" w:color="auto" w:fill="auto"/>
          <w:lang w:bidi="ar"/>
        </w:rPr>
        <w:t>不断提高反垄断执法水平。</w:t>
      </w:r>
      <w:r>
        <w:rPr>
          <w:rFonts w:hint="eastAsia" w:ascii="仿宋" w:hAnsi="仿宋" w:eastAsia="仿宋" w:cs="仿宋"/>
          <w:b w:val="0"/>
          <w:bCs w:val="0"/>
          <w:color w:val="auto"/>
          <w:kern w:val="0"/>
          <w:highlight w:val="none"/>
          <w:shd w:val="clear" w:color="auto" w:fill="auto"/>
        </w:rPr>
        <w:t>强化保障民生、促进创新等重点领域反垄断执法，坚决查处达成实施垄断协议、滥用市场支配地位等行为，依法制止滥用行政权力排除、限制竞争行为，保障市场公平竞争</w:t>
      </w:r>
      <w:r>
        <w:rPr>
          <w:rFonts w:hint="eastAsia" w:ascii="仿宋" w:hAnsi="仿宋" w:eastAsia="仿宋" w:cs="仿宋"/>
          <w:b w:val="0"/>
          <w:bCs w:val="0"/>
          <w:color w:val="auto"/>
          <w:kern w:val="0"/>
          <w:highlight w:val="none"/>
          <w:shd w:val="clear" w:color="auto" w:fill="auto"/>
          <w:lang w:eastAsia="zh-CN"/>
        </w:rPr>
        <w:t>，</w:t>
      </w:r>
      <w:r>
        <w:rPr>
          <w:rFonts w:hint="eastAsia" w:ascii="仿宋" w:hAnsi="仿宋" w:eastAsia="仿宋" w:cs="仿宋"/>
          <w:b w:val="0"/>
          <w:bCs w:val="0"/>
          <w:color w:val="auto"/>
          <w:kern w:val="0"/>
          <w:highlight w:val="none"/>
          <w:shd w:val="clear" w:color="auto" w:fill="auto"/>
        </w:rPr>
        <w:t>切实维护消费者合法权益。强化《</w:t>
      </w:r>
      <w:r>
        <w:rPr>
          <w:rFonts w:hint="eastAsia" w:ascii="仿宋" w:hAnsi="仿宋" w:eastAsia="仿宋" w:cs="仿宋"/>
          <w:b w:val="0"/>
          <w:bCs w:val="0"/>
          <w:color w:val="auto"/>
          <w:kern w:val="0"/>
          <w:highlight w:val="none"/>
          <w:shd w:val="clear" w:color="auto" w:fill="auto"/>
          <w:lang w:eastAsia="zh-CN"/>
        </w:rPr>
        <w:t>中华人民共和国</w:t>
      </w:r>
      <w:r>
        <w:rPr>
          <w:rFonts w:hint="eastAsia" w:ascii="仿宋" w:hAnsi="仿宋" w:eastAsia="仿宋" w:cs="仿宋"/>
          <w:b w:val="0"/>
          <w:bCs w:val="0"/>
          <w:color w:val="auto"/>
          <w:kern w:val="0"/>
          <w:highlight w:val="none"/>
          <w:shd w:val="clear" w:color="auto" w:fill="auto"/>
        </w:rPr>
        <w:t>反垄断法》宣传和合规培训，引导</w:t>
      </w:r>
      <w:r>
        <w:rPr>
          <w:rFonts w:hint="eastAsia" w:ascii="仿宋" w:hAnsi="仿宋" w:eastAsia="仿宋" w:cs="仿宋"/>
          <w:b w:val="0"/>
          <w:bCs w:val="0"/>
          <w:color w:val="auto"/>
          <w:kern w:val="0"/>
          <w:highlight w:val="none"/>
          <w:shd w:val="clear" w:color="auto" w:fill="auto"/>
          <w:lang w:eastAsia="zh-CN"/>
        </w:rPr>
        <w:t>市场主体</w:t>
      </w:r>
      <w:r>
        <w:rPr>
          <w:rFonts w:hint="eastAsia" w:ascii="仿宋" w:hAnsi="仿宋" w:eastAsia="仿宋" w:cs="仿宋"/>
          <w:b w:val="0"/>
          <w:bCs w:val="0"/>
          <w:color w:val="auto"/>
          <w:kern w:val="0"/>
          <w:highlight w:val="none"/>
          <w:shd w:val="clear" w:color="auto" w:fill="auto"/>
        </w:rPr>
        <w:t>自觉守法，推进</w:t>
      </w:r>
      <w:r>
        <w:rPr>
          <w:rFonts w:hint="eastAsia" w:ascii="仿宋" w:hAnsi="仿宋" w:eastAsia="仿宋" w:cs="仿宋"/>
          <w:b w:val="0"/>
          <w:bCs w:val="0"/>
          <w:color w:val="auto"/>
          <w:kern w:val="0"/>
          <w:highlight w:val="none"/>
          <w:shd w:val="clear" w:color="auto" w:fill="auto"/>
          <w:lang w:eastAsia="zh-CN"/>
        </w:rPr>
        <w:t>反垄断合规体系建设，广泛形成竞争文化氛围。</w:t>
      </w:r>
      <w:r>
        <w:rPr>
          <w:rFonts w:hint="eastAsia" w:ascii="仿宋" w:hAnsi="仿宋" w:eastAsia="仿宋" w:cs="仿宋"/>
          <w:b w:val="0"/>
          <w:bCs w:val="0"/>
          <w:color w:val="auto"/>
          <w:kern w:val="0"/>
          <w:highlight w:val="none"/>
          <w:shd w:val="clear" w:color="auto" w:fill="auto"/>
        </w:rPr>
        <w:t>加强反垄断执法和司法保护协调。</w:t>
      </w:r>
    </w:p>
    <w:p>
      <w:pPr>
        <w:keepNext w:val="0"/>
        <w:keepLines w:val="0"/>
        <w:pageBreakBefore w:val="0"/>
        <w:widowControl w:val="0"/>
        <w:kinsoku/>
        <w:wordWrap/>
        <w:overflowPunct/>
        <w:autoSpaceDE/>
        <w:autoSpaceDN/>
        <w:bidi w:val="0"/>
        <w:adjustRightInd/>
        <w:spacing w:line="580" w:lineRule="exact"/>
        <w:ind w:left="0" w:leftChars="0" w:right="0" w:rightChars="0" w:firstLine="640" w:firstLineChars="200"/>
        <w:textAlignment w:val="auto"/>
        <w:rPr>
          <w:rFonts w:hint="eastAsia" w:ascii="仿宋" w:hAnsi="仿宋" w:eastAsia="仿宋" w:cs="仿宋"/>
          <w:b w:val="0"/>
          <w:bCs w:val="0"/>
          <w:color w:val="auto"/>
          <w:sz w:val="32"/>
          <w:szCs w:val="32"/>
          <w:highlight w:val="none"/>
          <w:shd w:val="clear" w:color="auto" w:fill="auto"/>
        </w:rPr>
      </w:pPr>
      <w:r>
        <w:rPr>
          <w:rFonts w:hint="eastAsia" w:ascii="仿宋" w:hAnsi="仿宋" w:eastAsia="仿宋" w:cs="仿宋"/>
          <w:b w:val="0"/>
          <w:bCs w:val="0"/>
          <w:color w:val="auto"/>
          <w:kern w:val="0"/>
          <w:sz w:val="32"/>
          <w:szCs w:val="32"/>
          <w:highlight w:val="none"/>
          <w:shd w:val="clear" w:color="auto" w:fill="auto"/>
          <w:lang w:bidi="ar"/>
        </w:rPr>
        <w:t>加强反不正当竞争执法。</w:t>
      </w:r>
      <w:r>
        <w:rPr>
          <w:rFonts w:hint="eastAsia" w:ascii="仿宋" w:hAnsi="仿宋" w:eastAsia="仿宋" w:cs="仿宋"/>
          <w:b w:val="0"/>
          <w:bCs w:val="0"/>
          <w:color w:val="auto"/>
          <w:sz w:val="32"/>
          <w:szCs w:val="32"/>
          <w:highlight w:val="none"/>
          <w:shd w:val="clear" w:color="auto" w:fill="auto"/>
        </w:rPr>
        <w:t>围绕优化营商环境，强化反不正当竞争执法。不断强化联合整治工作态势，重点解决虚假宣传、商业混淆等突出问题。持续加强教育、医药、电商等重点行业和领域反不正当竞争执法，切实维护公平竞争市场秩序。</w:t>
      </w:r>
    </w:p>
    <w:p>
      <w:pPr>
        <w:pStyle w:val="3"/>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textAlignment w:val="auto"/>
        <w:rPr>
          <w:rFonts w:hint="eastAsia" w:ascii="仿宋" w:hAnsi="仿宋" w:eastAsia="仿宋" w:cs="仿宋"/>
          <w:b w:val="0"/>
          <w:bCs w:val="0"/>
          <w:color w:val="auto"/>
          <w:kern w:val="0"/>
          <w:highlight w:val="none"/>
          <w:shd w:val="clear" w:color="auto" w:fill="auto"/>
        </w:rPr>
      </w:pPr>
      <w:r>
        <w:rPr>
          <w:rFonts w:hint="eastAsia" w:ascii="仿宋" w:hAnsi="仿宋" w:eastAsia="仿宋" w:cs="仿宋"/>
          <w:b w:val="0"/>
          <w:bCs w:val="0"/>
          <w:color w:val="auto"/>
          <w:kern w:val="0"/>
          <w:highlight w:val="none"/>
          <w:shd w:val="clear" w:color="auto" w:fill="auto"/>
          <w:lang w:bidi="ar"/>
        </w:rPr>
        <w:t>加大价格监管力度。</w:t>
      </w:r>
      <w:r>
        <w:rPr>
          <w:rFonts w:hint="eastAsia" w:ascii="仿宋" w:hAnsi="仿宋" w:eastAsia="仿宋" w:cs="仿宋"/>
          <w:b w:val="0"/>
          <w:bCs w:val="0"/>
          <w:color w:val="auto"/>
          <w:kern w:val="0"/>
          <w:highlight w:val="none"/>
          <w:shd w:val="clear" w:color="auto" w:fill="auto"/>
        </w:rPr>
        <w:t>落实降费减负政策，持续开展涉企收费检查，突出抓好行政事业性收费、行业协会商会价费行为监管，为实体经济发展营造良好的价费环境。围绕保障和改善民生，严肃查处养老、旅游、医疗、水电气暖等重点领域价格违法违规行为，维护</w:t>
      </w:r>
      <w:r>
        <w:rPr>
          <w:rFonts w:hint="eastAsia" w:ascii="仿宋" w:hAnsi="仿宋" w:eastAsia="仿宋" w:cs="仿宋"/>
          <w:b w:val="0"/>
          <w:bCs w:val="0"/>
          <w:color w:val="auto"/>
          <w:kern w:val="0"/>
          <w:highlight w:val="none"/>
          <w:shd w:val="clear" w:color="auto" w:fill="auto"/>
          <w:lang w:eastAsia="zh-CN"/>
        </w:rPr>
        <w:t>人民群众</w:t>
      </w:r>
      <w:r>
        <w:rPr>
          <w:rFonts w:hint="eastAsia" w:ascii="仿宋" w:hAnsi="仿宋" w:eastAsia="仿宋" w:cs="仿宋"/>
          <w:b w:val="0"/>
          <w:bCs w:val="0"/>
          <w:color w:val="auto"/>
          <w:kern w:val="0"/>
          <w:highlight w:val="none"/>
          <w:shd w:val="clear" w:color="auto" w:fill="auto"/>
        </w:rPr>
        <w:t>合法权益。</w:t>
      </w:r>
    </w:p>
    <w:p>
      <w:pPr>
        <w:keepNext w:val="0"/>
        <w:keepLines w:val="0"/>
        <w:pageBreakBefore w:val="0"/>
        <w:widowControl w:val="0"/>
        <w:kinsoku/>
        <w:wordWrap/>
        <w:overflowPunct/>
        <w:autoSpaceDE/>
        <w:autoSpaceDN/>
        <w:bidi w:val="0"/>
        <w:adjustRightInd/>
        <w:snapToGrid w:val="0"/>
        <w:spacing w:after="0" w:line="580" w:lineRule="exact"/>
        <w:ind w:left="0" w:leftChars="0" w:right="0" w:rightChars="0" w:firstLine="640" w:firstLineChars="0"/>
        <w:textAlignment w:val="auto"/>
        <w:rPr>
          <w:rFonts w:hint="eastAsia" w:ascii="仿宋" w:hAnsi="仿宋" w:eastAsia="仿宋" w:cs="仿宋"/>
          <w:color w:val="auto"/>
          <w:sz w:val="32"/>
          <w:szCs w:val="32"/>
          <w:highlight w:val="none"/>
          <w:shd w:val="clear" w:color="auto" w:fill="auto"/>
          <w:lang w:eastAsia="zh-CN"/>
        </w:rPr>
      </w:pPr>
      <w:r>
        <w:rPr>
          <w:rFonts w:hint="eastAsia" w:ascii="仿宋" w:hAnsi="仿宋" w:eastAsia="仿宋" w:cs="仿宋"/>
          <w:b w:val="0"/>
          <w:bCs w:val="0"/>
          <w:color w:val="auto"/>
          <w:kern w:val="0"/>
          <w:sz w:val="32"/>
          <w:szCs w:val="32"/>
          <w:highlight w:val="none"/>
          <w:shd w:val="clear" w:color="auto" w:fill="auto"/>
          <w:lang w:bidi="ar"/>
        </w:rPr>
        <w:t>强化知识产权保护</w:t>
      </w:r>
      <w:r>
        <w:rPr>
          <w:rFonts w:hint="eastAsia" w:ascii="仿宋" w:hAnsi="仿宋" w:eastAsia="仿宋" w:cs="仿宋"/>
          <w:b w:val="0"/>
          <w:bCs w:val="0"/>
          <w:color w:val="auto"/>
          <w:kern w:val="0"/>
          <w:sz w:val="32"/>
          <w:szCs w:val="32"/>
          <w:highlight w:val="none"/>
          <w:shd w:val="clear" w:color="auto" w:fill="auto"/>
          <w:lang w:eastAsia="zh-CN" w:bidi="ar"/>
        </w:rPr>
        <w:t>和运用</w:t>
      </w:r>
      <w:r>
        <w:rPr>
          <w:rFonts w:hint="eastAsia" w:ascii="仿宋" w:hAnsi="仿宋" w:eastAsia="仿宋" w:cs="仿宋"/>
          <w:b w:val="0"/>
          <w:bCs w:val="0"/>
          <w:color w:val="auto"/>
          <w:kern w:val="0"/>
          <w:sz w:val="32"/>
          <w:szCs w:val="32"/>
          <w:highlight w:val="none"/>
          <w:shd w:val="clear" w:color="auto" w:fill="auto"/>
          <w:lang w:bidi="ar"/>
        </w:rPr>
        <w:t>。</w:t>
      </w:r>
      <w:r>
        <w:rPr>
          <w:rFonts w:hint="eastAsia" w:ascii="仿宋" w:hAnsi="仿宋" w:eastAsia="仿宋" w:cs="仿宋"/>
          <w:b w:val="0"/>
          <w:bCs w:val="0"/>
          <w:color w:val="auto"/>
          <w:sz w:val="32"/>
          <w:szCs w:val="32"/>
          <w:highlight w:val="none"/>
          <w:shd w:val="clear" w:color="auto" w:fill="auto"/>
          <w:lang w:eastAsia="zh-CN"/>
        </w:rPr>
        <w:t>全面提升</w:t>
      </w:r>
      <w:r>
        <w:rPr>
          <w:rFonts w:hint="eastAsia" w:ascii="仿宋" w:hAnsi="仿宋" w:eastAsia="仿宋" w:cs="仿宋"/>
          <w:b w:val="0"/>
          <w:bCs w:val="0"/>
          <w:color w:val="auto"/>
          <w:sz w:val="32"/>
          <w:szCs w:val="32"/>
          <w:highlight w:val="none"/>
          <w:shd w:val="clear" w:color="auto" w:fill="auto"/>
        </w:rPr>
        <w:t>知识产权创造、保护、运用、管理</w:t>
      </w:r>
      <w:r>
        <w:rPr>
          <w:rFonts w:hint="eastAsia" w:ascii="仿宋" w:hAnsi="仿宋" w:eastAsia="仿宋" w:cs="仿宋"/>
          <w:b w:val="0"/>
          <w:bCs w:val="0"/>
          <w:color w:val="auto"/>
          <w:sz w:val="32"/>
          <w:szCs w:val="32"/>
          <w:highlight w:val="none"/>
          <w:shd w:val="clear" w:color="auto" w:fill="auto"/>
          <w:lang w:eastAsia="zh-CN"/>
        </w:rPr>
        <w:t>和</w:t>
      </w:r>
      <w:r>
        <w:rPr>
          <w:rFonts w:hint="eastAsia" w:ascii="仿宋" w:hAnsi="仿宋" w:eastAsia="仿宋" w:cs="仿宋"/>
          <w:b w:val="0"/>
          <w:bCs w:val="0"/>
          <w:color w:val="auto"/>
          <w:sz w:val="32"/>
          <w:szCs w:val="32"/>
          <w:highlight w:val="none"/>
          <w:shd w:val="clear" w:color="auto" w:fill="auto"/>
        </w:rPr>
        <w:t>服务</w:t>
      </w:r>
      <w:r>
        <w:rPr>
          <w:rFonts w:hint="eastAsia" w:ascii="仿宋" w:hAnsi="仿宋" w:eastAsia="仿宋" w:cs="仿宋"/>
          <w:b w:val="0"/>
          <w:bCs w:val="0"/>
          <w:color w:val="auto"/>
          <w:sz w:val="32"/>
          <w:szCs w:val="32"/>
          <w:highlight w:val="none"/>
          <w:shd w:val="clear" w:color="auto" w:fill="auto"/>
          <w:lang w:eastAsia="zh-CN"/>
        </w:rPr>
        <w:t>水平</w:t>
      </w:r>
      <w:r>
        <w:rPr>
          <w:rFonts w:hint="eastAsia" w:ascii="仿宋" w:hAnsi="仿宋" w:eastAsia="仿宋" w:cs="仿宋"/>
          <w:b w:val="0"/>
          <w:bCs w:val="0"/>
          <w:color w:val="auto"/>
          <w:sz w:val="32"/>
          <w:szCs w:val="32"/>
          <w:highlight w:val="none"/>
          <w:shd w:val="clear" w:color="auto" w:fill="auto"/>
        </w:rPr>
        <w:t>，加快推进由专利数量导向向质量导向转变，清理优化专利申请考评、资助政策，减少一般性专利数量指标，引导资源向高质量专利投入。从审查授权、行政执法、仲裁调解、行业自律、公民诚信等环节完善保护体系。严格执行侵权惩罚性赔偿制度，建立案件快速受理和科学分流机制。加强知识产权保护体系建设，设立一批知识产权保护中心、快速维权中心和维权援助工作站。完善行政执法与司法衔接，加强与公安、法院、司法、海关等部门协作配合，有效遏制侵权假冒易发多发现象。深化知识产权金融服务，扩大知识产权质押融资规模。</w:t>
      </w:r>
      <w:bookmarkStart w:id="24" w:name="_Hlk68100980"/>
      <w:bookmarkStart w:id="25" w:name="_Toc69226845"/>
      <w:bookmarkStart w:id="26" w:name="_Toc69227024"/>
      <w:bookmarkStart w:id="27" w:name="_Toc72706163"/>
      <w:r>
        <w:rPr>
          <w:rFonts w:hint="eastAsia" w:ascii="仿宋" w:hAnsi="仿宋" w:eastAsia="仿宋" w:cs="仿宋"/>
          <w:b w:val="0"/>
          <w:bCs w:val="0"/>
          <w:color w:val="auto"/>
          <w:sz w:val="32"/>
          <w:szCs w:val="32"/>
          <w:highlight w:val="none"/>
          <w:shd w:val="clear" w:color="auto" w:fill="auto"/>
          <w:lang w:eastAsia="zh-CN"/>
        </w:rPr>
        <w:t>按照《内蒙古自治区“十四五”知识产权保护和运用规划》，组织实施各项工作。</w:t>
      </w:r>
    </w:p>
    <w:p>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 w:val="0"/>
          <w:bCs w:val="0"/>
          <w:color w:val="auto"/>
          <w:kern w:val="0"/>
          <w:sz w:val="32"/>
          <w:szCs w:val="32"/>
          <w:highlight w:val="none"/>
          <w:shd w:val="clear" w:color="auto" w:fill="auto"/>
          <w:lang w:val="en-US" w:eastAsia="zh-CN" w:bidi="zh-CN"/>
        </w:rPr>
      </w:pPr>
      <w:bookmarkStart w:id="28" w:name="_Toc3815"/>
      <w:r>
        <w:rPr>
          <w:rFonts w:hint="eastAsia" w:ascii="楷体" w:hAnsi="楷体" w:eastAsia="楷体" w:cs="楷体"/>
          <w:b w:val="0"/>
          <w:bCs w:val="0"/>
          <w:color w:val="auto"/>
          <w:kern w:val="0"/>
          <w:sz w:val="32"/>
          <w:szCs w:val="32"/>
          <w:highlight w:val="none"/>
          <w:shd w:val="clear" w:color="auto" w:fill="auto"/>
          <w:lang w:val="en-US" w:eastAsia="zh-CN" w:bidi="zh-CN"/>
        </w:rPr>
        <w:t>第三节  打造安全放心的消费环境</w:t>
      </w:r>
      <w:bookmarkEnd w:id="22"/>
      <w:bookmarkEnd w:id="23"/>
      <w:bookmarkEnd w:id="24"/>
      <w:bookmarkEnd w:id="25"/>
      <w:bookmarkEnd w:id="26"/>
      <w:bookmarkEnd w:id="27"/>
      <w:bookmarkEnd w:id="28"/>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3"/>
        <w:textAlignment w:val="auto"/>
        <w:rPr>
          <w:rFonts w:hint="eastAsia" w:ascii="仿宋" w:hAnsi="仿宋" w:eastAsia="仿宋" w:cs="仿宋"/>
          <w:b w:val="0"/>
          <w:bCs/>
          <w:color w:val="auto"/>
          <w:sz w:val="32"/>
          <w:szCs w:val="32"/>
          <w:highlight w:val="none"/>
          <w:shd w:val="clear" w:color="auto" w:fill="auto"/>
        </w:rPr>
      </w:pPr>
      <w:r>
        <w:rPr>
          <w:rFonts w:hint="eastAsia" w:ascii="仿宋" w:hAnsi="仿宋" w:eastAsia="仿宋" w:cs="仿宋"/>
          <w:b w:val="0"/>
          <w:bCs/>
          <w:color w:val="auto"/>
          <w:sz w:val="32"/>
          <w:szCs w:val="32"/>
          <w:highlight w:val="none"/>
          <w:shd w:val="clear" w:color="auto" w:fill="auto"/>
        </w:rPr>
        <w:t>强化食品安全监管。深入实施食品安全战略，</w:t>
      </w:r>
      <w:r>
        <w:rPr>
          <w:rFonts w:hint="eastAsia" w:ascii="仿宋" w:hAnsi="仿宋" w:eastAsia="仿宋" w:cs="仿宋"/>
          <w:b w:val="0"/>
          <w:bCs/>
          <w:color w:val="auto"/>
          <w:sz w:val="32"/>
          <w:szCs w:val="32"/>
          <w:highlight w:val="none"/>
          <w:shd w:val="clear" w:color="auto" w:fill="auto"/>
          <w:lang w:eastAsia="zh-CN"/>
        </w:rPr>
        <w:t>推动</w:t>
      </w:r>
      <w:r>
        <w:rPr>
          <w:rFonts w:hint="eastAsia" w:ascii="仿宋" w:hAnsi="仿宋" w:eastAsia="仿宋" w:cs="仿宋"/>
          <w:b w:val="0"/>
          <w:bCs/>
          <w:color w:val="auto"/>
          <w:sz w:val="32"/>
          <w:szCs w:val="32"/>
          <w:highlight w:val="none"/>
          <w:shd w:val="clear" w:color="auto" w:fill="auto"/>
        </w:rPr>
        <w:t>建立健全食品安全地方性法规，完善地方食品安全标准体系。深化食品安全监管体制改革，建立完善旗县（市、区）</w:t>
      </w:r>
      <w:r>
        <w:rPr>
          <w:rFonts w:hint="eastAsia" w:ascii="仿宋" w:hAnsi="仿宋" w:eastAsia="仿宋" w:cs="仿宋"/>
          <w:b w:val="0"/>
          <w:bCs/>
          <w:color w:val="auto"/>
          <w:sz w:val="32"/>
          <w:szCs w:val="32"/>
          <w:highlight w:val="none"/>
          <w:shd w:val="clear" w:color="auto" w:fill="auto"/>
          <w:lang w:eastAsia="zh-CN"/>
        </w:rPr>
        <w:t>、</w:t>
      </w:r>
      <w:r>
        <w:rPr>
          <w:rFonts w:hint="eastAsia" w:ascii="仿宋" w:hAnsi="仿宋" w:eastAsia="仿宋" w:cs="仿宋"/>
          <w:b w:val="0"/>
          <w:bCs/>
          <w:color w:val="auto"/>
          <w:sz w:val="32"/>
          <w:szCs w:val="32"/>
          <w:highlight w:val="none"/>
          <w:shd w:val="clear" w:color="auto" w:fill="auto"/>
        </w:rPr>
        <w:t>苏木乡镇食品安全监管机构。严格落实“四个最严”要求，加强食品全链条质量安全监管，推进全区食品安全信息化管理平台建设，加快重点品种食品安全追溯体系建设。完善食品安全责任体系，重点实施风险评估和标准制定专项行动、农药兽药使用减量和产地环境净化行动、国产婴幼儿配方乳粉提升行动、校园食品安全守护行动、农村牧区假冒伪劣食品治理行动、餐饮质量安全提升行动、保健食品行业专项清理整治行动、“优质粮食工程”行动、进口食品“国门守护”行动和“双安双创”</w:t>
      </w:r>
      <w:r>
        <w:rPr>
          <w:rFonts w:hint="eastAsia" w:ascii="仿宋" w:hAnsi="仿宋" w:eastAsia="仿宋" w:cs="仿宋"/>
          <w:b w:val="0"/>
          <w:bCs/>
          <w:color w:val="auto"/>
          <w:sz w:val="32"/>
          <w:szCs w:val="32"/>
          <w:highlight w:val="none"/>
          <w:shd w:val="clear" w:color="auto" w:fill="auto"/>
          <w:lang w:eastAsia="zh-CN"/>
        </w:rPr>
        <w:t>（国家级、自治区级）</w:t>
      </w:r>
      <w:r>
        <w:rPr>
          <w:rFonts w:hint="eastAsia" w:ascii="仿宋" w:hAnsi="仿宋" w:eastAsia="仿宋" w:cs="仿宋"/>
          <w:b w:val="0"/>
          <w:bCs/>
          <w:color w:val="auto"/>
          <w:sz w:val="32"/>
          <w:szCs w:val="32"/>
          <w:highlight w:val="none"/>
          <w:shd w:val="clear" w:color="auto" w:fill="auto"/>
        </w:rPr>
        <w:t>示范引领行动，以点带面治理“餐桌污染”。强化食品安全风险监测，提高风险监测覆盖面和问题发现率。持续完善食品安全风险监测评估机制，深化食品安全抽检制度改革，加大抽检监测力度，强化抽检监测的隐患排查和风险管控作用。严惩重处制售假冒伪劣食品违法行为，建立完善打击危害食品安全违法犯罪行刑衔接、案件会商、联合督办等制度，试点实施食品安全民事公益诉讼</w:t>
      </w:r>
      <w:r>
        <w:rPr>
          <w:rFonts w:hint="eastAsia" w:ascii="仿宋" w:hAnsi="仿宋" w:eastAsia="仿宋" w:cs="仿宋"/>
          <w:b w:val="0"/>
          <w:bCs/>
          <w:color w:val="auto"/>
          <w:sz w:val="32"/>
          <w:szCs w:val="32"/>
          <w:highlight w:val="none"/>
          <w:shd w:val="clear" w:color="auto" w:fill="auto"/>
          <w:lang w:eastAsia="zh-CN"/>
        </w:rPr>
        <w:t>和</w:t>
      </w:r>
      <w:r>
        <w:rPr>
          <w:rFonts w:hint="eastAsia" w:ascii="仿宋" w:hAnsi="仿宋" w:eastAsia="仿宋" w:cs="仿宋"/>
          <w:b w:val="0"/>
          <w:bCs/>
          <w:color w:val="auto"/>
          <w:sz w:val="32"/>
          <w:szCs w:val="32"/>
          <w:highlight w:val="none"/>
          <w:shd w:val="clear" w:color="auto" w:fill="auto"/>
        </w:rPr>
        <w:t>惩罚性赔偿制度。加大相关部门、各层级间</w:t>
      </w:r>
      <w:r>
        <w:rPr>
          <w:rFonts w:hint="eastAsia" w:ascii="仿宋" w:hAnsi="仿宋" w:eastAsia="仿宋" w:cs="仿宋"/>
          <w:b w:val="0"/>
          <w:bCs/>
          <w:color w:val="auto"/>
          <w:sz w:val="32"/>
          <w:szCs w:val="32"/>
          <w:highlight w:val="none"/>
          <w:shd w:val="clear" w:color="auto" w:fill="auto"/>
          <w:lang w:eastAsia="zh-CN"/>
        </w:rPr>
        <w:t>围绕</w:t>
      </w:r>
      <w:r>
        <w:rPr>
          <w:rFonts w:hint="eastAsia" w:ascii="仿宋" w:hAnsi="仿宋" w:eastAsia="仿宋" w:cs="仿宋"/>
          <w:b w:val="0"/>
          <w:bCs/>
          <w:color w:val="auto"/>
          <w:sz w:val="32"/>
          <w:szCs w:val="32"/>
          <w:highlight w:val="none"/>
          <w:shd w:val="clear" w:color="auto" w:fill="auto"/>
        </w:rPr>
        <w:t>重点领域食品安全问题</w:t>
      </w:r>
      <w:r>
        <w:rPr>
          <w:rFonts w:hint="eastAsia" w:ascii="仿宋" w:hAnsi="仿宋" w:eastAsia="仿宋" w:cs="仿宋"/>
          <w:b w:val="0"/>
          <w:bCs/>
          <w:color w:val="auto"/>
          <w:sz w:val="32"/>
          <w:szCs w:val="32"/>
          <w:highlight w:val="none"/>
          <w:shd w:val="clear" w:color="auto" w:fill="auto"/>
          <w:lang w:eastAsia="zh-CN"/>
        </w:rPr>
        <w:t>的</w:t>
      </w:r>
      <w:r>
        <w:rPr>
          <w:rFonts w:hint="eastAsia" w:ascii="仿宋" w:hAnsi="仿宋" w:eastAsia="仿宋" w:cs="仿宋"/>
          <w:b w:val="0"/>
          <w:bCs/>
          <w:color w:val="auto"/>
          <w:sz w:val="32"/>
          <w:szCs w:val="32"/>
          <w:highlight w:val="none"/>
          <w:shd w:val="clear" w:color="auto" w:fill="auto"/>
        </w:rPr>
        <w:t>联合整治力度，加强食品安全宣传与应急管理体系建设，鼓励社会公众参与监督，构建群防群控的社会共治体系，确保人民群众舌尖上的安全。</w:t>
      </w:r>
    </w:p>
    <w:p>
      <w:pPr>
        <w:keepNext w:val="0"/>
        <w:keepLines w:val="0"/>
        <w:pageBreakBefore w:val="0"/>
        <w:widowControl w:val="0"/>
        <w:kinsoku/>
        <w:wordWrap/>
        <w:overflowPunct/>
        <w:autoSpaceDE/>
        <w:autoSpaceDN/>
        <w:bidi w:val="0"/>
        <w:adjustRightInd/>
        <w:snapToGrid w:val="0"/>
        <w:spacing w:after="0" w:line="580" w:lineRule="exact"/>
        <w:ind w:left="0" w:leftChars="0" w:right="0" w:rightChars="0" w:firstLine="640" w:firstLineChars="0"/>
        <w:textAlignment w:val="auto"/>
        <w:rPr>
          <w:rFonts w:hint="eastAsia" w:ascii="仿宋" w:hAnsi="仿宋" w:eastAsia="仿宋" w:cs="仿宋"/>
          <w:b w:val="0"/>
          <w:bCs/>
          <w:color w:val="auto"/>
          <w:sz w:val="32"/>
          <w:szCs w:val="32"/>
          <w:highlight w:val="none"/>
          <w:u w:val="none"/>
          <w:shd w:val="clear" w:color="auto" w:fill="auto"/>
          <w:lang w:eastAsia="zh-CN"/>
        </w:rPr>
      </w:pPr>
      <w:r>
        <w:rPr>
          <w:rFonts w:hint="eastAsia" w:ascii="仿宋" w:hAnsi="仿宋" w:eastAsia="仿宋" w:cs="仿宋"/>
          <w:b w:val="0"/>
          <w:bCs/>
          <w:color w:val="auto"/>
          <w:sz w:val="32"/>
          <w:szCs w:val="32"/>
          <w:highlight w:val="none"/>
          <w:u w:val="none"/>
          <w:shd w:val="clear" w:color="auto" w:fill="auto"/>
        </w:rPr>
        <w:t>强化药品安全监管。</w:t>
      </w:r>
      <w:r>
        <w:rPr>
          <w:rFonts w:hint="eastAsia" w:ascii="仿宋" w:hAnsi="仿宋" w:eastAsia="仿宋" w:cs="仿宋"/>
          <w:b w:val="0"/>
          <w:bCs/>
          <w:color w:val="auto"/>
          <w:sz w:val="32"/>
          <w:szCs w:val="32"/>
          <w:highlight w:val="none"/>
          <w:u w:val="none"/>
          <w:shd w:val="clear" w:color="auto" w:fill="auto"/>
          <w:lang w:eastAsia="zh-CN"/>
        </w:rPr>
        <w:t>认真</w:t>
      </w:r>
      <w:r>
        <w:rPr>
          <w:rFonts w:hint="eastAsia" w:ascii="仿宋" w:hAnsi="仿宋" w:eastAsia="仿宋" w:cs="仿宋"/>
          <w:b w:val="0"/>
          <w:bCs/>
          <w:color w:val="auto"/>
          <w:sz w:val="32"/>
          <w:szCs w:val="32"/>
          <w:highlight w:val="none"/>
          <w:u w:val="none"/>
          <w:shd w:val="clear" w:color="auto" w:fill="auto"/>
        </w:rPr>
        <w:t>贯彻落实《</w:t>
      </w:r>
      <w:r>
        <w:rPr>
          <w:rFonts w:hint="eastAsia" w:ascii="仿宋" w:hAnsi="仿宋" w:eastAsia="仿宋" w:cs="仿宋"/>
          <w:b w:val="0"/>
          <w:bCs/>
          <w:color w:val="auto"/>
          <w:sz w:val="32"/>
          <w:szCs w:val="32"/>
          <w:highlight w:val="none"/>
          <w:u w:val="none"/>
          <w:shd w:val="clear" w:color="auto" w:fill="auto"/>
          <w:lang w:eastAsia="zh-CN"/>
        </w:rPr>
        <w:t>国务院办公厅</w:t>
      </w:r>
      <w:r>
        <w:rPr>
          <w:rFonts w:hint="eastAsia" w:ascii="仿宋" w:hAnsi="仿宋" w:eastAsia="仿宋" w:cs="仿宋"/>
          <w:b w:val="0"/>
          <w:bCs/>
          <w:color w:val="auto"/>
          <w:sz w:val="32"/>
          <w:szCs w:val="32"/>
          <w:highlight w:val="none"/>
          <w:u w:val="none"/>
          <w:shd w:val="clear" w:color="auto" w:fill="auto"/>
        </w:rPr>
        <w:t>关于全面加强药品监管能力建设的实施意见》</w:t>
      </w:r>
      <w:r>
        <w:rPr>
          <w:rFonts w:hint="eastAsia" w:ascii="仿宋" w:hAnsi="仿宋" w:eastAsia="仿宋" w:cs="仿宋"/>
          <w:b w:val="0"/>
          <w:bCs/>
          <w:color w:val="auto"/>
          <w:sz w:val="32"/>
          <w:szCs w:val="32"/>
          <w:highlight w:val="none"/>
          <w:u w:val="none"/>
          <w:shd w:val="clear" w:color="auto" w:fill="auto"/>
          <w:lang w:eastAsia="zh-CN"/>
        </w:rPr>
        <w:t>（国办发〔</w:t>
      </w:r>
      <w:r>
        <w:rPr>
          <w:rFonts w:hint="eastAsia" w:ascii="仿宋" w:hAnsi="仿宋" w:eastAsia="仿宋" w:cs="仿宋"/>
          <w:b w:val="0"/>
          <w:bCs/>
          <w:color w:val="auto"/>
          <w:sz w:val="32"/>
          <w:szCs w:val="32"/>
          <w:highlight w:val="none"/>
          <w:u w:val="none"/>
          <w:shd w:val="clear" w:color="auto" w:fill="auto"/>
          <w:lang w:val="en-US" w:eastAsia="zh-CN"/>
        </w:rPr>
        <w:t>2021</w:t>
      </w:r>
      <w:r>
        <w:rPr>
          <w:rFonts w:hint="eastAsia" w:ascii="仿宋" w:hAnsi="仿宋" w:eastAsia="仿宋" w:cs="仿宋"/>
          <w:b w:val="0"/>
          <w:bCs/>
          <w:color w:val="auto"/>
          <w:sz w:val="32"/>
          <w:szCs w:val="32"/>
          <w:highlight w:val="none"/>
          <w:u w:val="none"/>
          <w:shd w:val="clear" w:color="auto" w:fill="auto"/>
          <w:lang w:eastAsia="zh-CN"/>
        </w:rPr>
        <w:t>〕</w:t>
      </w:r>
      <w:r>
        <w:rPr>
          <w:rFonts w:hint="eastAsia" w:ascii="仿宋" w:hAnsi="仿宋" w:eastAsia="仿宋" w:cs="仿宋"/>
          <w:b w:val="0"/>
          <w:bCs/>
          <w:color w:val="auto"/>
          <w:sz w:val="32"/>
          <w:szCs w:val="32"/>
          <w:highlight w:val="none"/>
          <w:u w:val="none"/>
          <w:shd w:val="clear" w:color="auto" w:fill="auto"/>
          <w:lang w:val="en-US" w:eastAsia="zh-CN"/>
        </w:rPr>
        <w:t>16号</w:t>
      </w:r>
      <w:r>
        <w:rPr>
          <w:rFonts w:hint="eastAsia" w:ascii="仿宋" w:hAnsi="仿宋" w:eastAsia="仿宋" w:cs="仿宋"/>
          <w:b w:val="0"/>
          <w:bCs/>
          <w:color w:val="auto"/>
          <w:sz w:val="32"/>
          <w:szCs w:val="32"/>
          <w:highlight w:val="none"/>
          <w:u w:val="none"/>
          <w:shd w:val="clear" w:color="auto" w:fill="auto"/>
          <w:lang w:eastAsia="zh-CN"/>
        </w:rPr>
        <w:t>）</w:t>
      </w:r>
      <w:r>
        <w:rPr>
          <w:rFonts w:hint="eastAsia" w:ascii="仿宋" w:hAnsi="仿宋" w:eastAsia="仿宋" w:cs="仿宋"/>
          <w:b w:val="0"/>
          <w:bCs/>
          <w:color w:val="auto"/>
          <w:sz w:val="32"/>
          <w:szCs w:val="32"/>
          <w:highlight w:val="none"/>
          <w:u w:val="none"/>
          <w:shd w:val="clear" w:color="auto" w:fill="auto"/>
        </w:rPr>
        <w:t>精神，创新药品监管方式方法，</w:t>
      </w:r>
      <w:r>
        <w:rPr>
          <w:rFonts w:hint="eastAsia" w:ascii="仿宋" w:hAnsi="仿宋" w:eastAsia="仿宋" w:cs="仿宋"/>
          <w:b w:val="0"/>
          <w:bCs/>
          <w:color w:val="auto"/>
          <w:sz w:val="32"/>
          <w:szCs w:val="32"/>
          <w:highlight w:val="none"/>
          <w:u w:val="none"/>
          <w:shd w:val="clear" w:color="auto" w:fill="auto"/>
          <w:lang w:eastAsia="zh-CN"/>
        </w:rPr>
        <w:t>健全“双随机、一公开”药品市场监管机制，</w:t>
      </w:r>
      <w:r>
        <w:rPr>
          <w:rFonts w:hint="eastAsia" w:ascii="仿宋" w:hAnsi="仿宋" w:eastAsia="仿宋" w:cs="仿宋"/>
          <w:b w:val="0"/>
          <w:bCs/>
          <w:color w:val="auto"/>
          <w:sz w:val="32"/>
          <w:szCs w:val="32"/>
          <w:highlight w:val="none"/>
          <w:u w:val="none"/>
          <w:shd w:val="clear" w:color="auto" w:fill="auto"/>
        </w:rPr>
        <w:t>提升药品监管现代化水平。推进药品监管法治建设，构建科学完备、运行高效的药品监管法规制度体系。深入开展药品安全隐患排查治理，严防严管严控安全风险。继续深化审评审批制度改革，加大服务指导工作力度，助力医药产业高质量发展。充分发挥中药（蒙药）特色优势，传承精华、守正创新，全力推动中药（蒙药）质量提升，不断激发中药（蒙药）产业发展活力，</w:t>
      </w:r>
      <w:r>
        <w:rPr>
          <w:rFonts w:hint="eastAsia" w:ascii="仿宋" w:hAnsi="仿宋" w:eastAsia="仿宋" w:cs="仿宋"/>
          <w:b w:val="0"/>
          <w:bCs/>
          <w:color w:val="auto"/>
          <w:spacing w:val="0"/>
          <w:sz w:val="32"/>
          <w:szCs w:val="32"/>
          <w:highlight w:val="none"/>
          <w:u w:val="none"/>
          <w:shd w:val="clear" w:color="auto" w:fill="auto"/>
        </w:rPr>
        <w:t>促进中药（蒙药）传承创新发展。</w:t>
      </w:r>
      <w:r>
        <w:rPr>
          <w:rFonts w:hint="eastAsia" w:ascii="仿宋" w:hAnsi="仿宋" w:eastAsia="仿宋" w:cs="仿宋"/>
          <w:b w:val="0"/>
          <w:bCs/>
          <w:color w:val="auto"/>
          <w:sz w:val="32"/>
          <w:szCs w:val="32"/>
          <w:highlight w:val="none"/>
          <w:u w:val="none"/>
          <w:shd w:val="clear" w:color="auto" w:fill="auto"/>
        </w:rPr>
        <w:t>提高应急管理能力，有效预防、积极应对、及时控制“两品一械”安全突发事件。充分发挥市场机制、社会监督和行业自律的作用，加快形成药品安全共管共治格局。组织实施职业化专业化检查员队伍建设、药品智慧监管建设、药品医疗器械化妆品检验检测能力提升、中药（蒙药）质量提升、</w:t>
      </w:r>
      <w:r>
        <w:rPr>
          <w:rFonts w:hint="eastAsia" w:ascii="仿宋" w:hAnsi="仿宋" w:eastAsia="仿宋" w:cs="仿宋"/>
          <w:b w:val="0"/>
          <w:bCs/>
          <w:snapToGrid/>
          <w:color w:val="auto"/>
          <w:sz w:val="32"/>
          <w:szCs w:val="32"/>
          <w:highlight w:val="none"/>
          <w:u w:val="none"/>
          <w:shd w:val="clear" w:color="auto" w:fill="auto"/>
        </w:rPr>
        <w:t>服务医药工业发展等重点项目，</w:t>
      </w:r>
      <w:r>
        <w:rPr>
          <w:rFonts w:hint="eastAsia" w:ascii="仿宋" w:hAnsi="仿宋" w:eastAsia="仿宋" w:cs="仿宋"/>
          <w:b w:val="0"/>
          <w:bCs/>
          <w:color w:val="auto"/>
          <w:sz w:val="32"/>
          <w:szCs w:val="32"/>
          <w:highlight w:val="none"/>
          <w:u w:val="none"/>
          <w:shd w:val="clear" w:color="auto" w:fill="auto"/>
        </w:rPr>
        <w:t>以最严格的监管，规范药品、医疗器械、化妆品生产、经营和使用行为，全力推进药品安全治理体系和治理能力现代化。</w:t>
      </w:r>
      <w:r>
        <w:rPr>
          <w:rFonts w:hint="eastAsia" w:ascii="仿宋" w:hAnsi="仿宋" w:eastAsia="仿宋" w:cs="仿宋"/>
          <w:b w:val="0"/>
          <w:bCs/>
          <w:color w:val="auto"/>
          <w:sz w:val="32"/>
          <w:szCs w:val="32"/>
          <w:highlight w:val="none"/>
          <w:u w:val="none"/>
          <w:shd w:val="clear" w:color="auto" w:fill="auto"/>
          <w:lang w:eastAsia="zh-CN"/>
        </w:rPr>
        <w:t>按照《内蒙古自治区“十四五”药品安全及高质量发展规划》，组织实施各项工作。</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1"/>
        <w:textAlignment w:val="auto"/>
        <w:rPr>
          <w:rFonts w:hint="eastAsia" w:ascii="仿宋" w:hAnsi="仿宋" w:eastAsia="仿宋" w:cs="仿宋"/>
          <w:b w:val="0"/>
          <w:bCs/>
          <w:color w:val="auto"/>
          <w:sz w:val="32"/>
          <w:szCs w:val="32"/>
          <w:highlight w:val="none"/>
          <w:shd w:val="clear" w:color="auto" w:fill="auto"/>
        </w:rPr>
      </w:pPr>
      <w:r>
        <w:rPr>
          <w:rFonts w:hint="eastAsia" w:ascii="仿宋" w:hAnsi="仿宋" w:eastAsia="仿宋" w:cs="仿宋"/>
          <w:b w:val="0"/>
          <w:bCs/>
          <w:color w:val="auto"/>
          <w:sz w:val="32"/>
          <w:szCs w:val="32"/>
          <w:highlight w:val="none"/>
          <w:shd w:val="clear" w:color="auto" w:fill="auto"/>
        </w:rPr>
        <w:t>强化特种设备安全监管。完善特种设备安全法规标准体系，</w:t>
      </w:r>
      <w:r>
        <w:rPr>
          <w:rFonts w:hint="eastAsia" w:ascii="仿宋" w:hAnsi="仿宋" w:eastAsia="仿宋" w:cs="仿宋"/>
          <w:b w:val="0"/>
          <w:bCs/>
          <w:color w:val="auto"/>
          <w:sz w:val="32"/>
          <w:szCs w:val="32"/>
          <w:highlight w:val="none"/>
          <w:shd w:val="clear" w:color="auto" w:fill="auto"/>
          <w:lang w:eastAsia="zh-CN"/>
        </w:rPr>
        <w:t>推动</w:t>
      </w:r>
      <w:r>
        <w:rPr>
          <w:rFonts w:hint="eastAsia" w:ascii="仿宋" w:hAnsi="仿宋" w:eastAsia="仿宋" w:cs="仿宋"/>
          <w:b w:val="0"/>
          <w:bCs/>
          <w:color w:val="auto"/>
          <w:sz w:val="32"/>
          <w:szCs w:val="32"/>
          <w:highlight w:val="none"/>
          <w:shd w:val="clear" w:color="auto" w:fill="auto"/>
        </w:rPr>
        <w:t>修订《内蒙古自治区特种设备安全监察条例》。强化风险管控</w:t>
      </w:r>
      <w:r>
        <w:rPr>
          <w:rFonts w:hint="eastAsia" w:ascii="仿宋" w:hAnsi="仿宋" w:eastAsia="仿宋" w:cs="仿宋"/>
          <w:b w:val="0"/>
          <w:bCs/>
          <w:color w:val="auto"/>
          <w:sz w:val="32"/>
          <w:szCs w:val="32"/>
          <w:highlight w:val="none"/>
          <w:shd w:val="clear" w:color="auto" w:fill="auto"/>
          <w:lang w:eastAsia="zh-CN"/>
        </w:rPr>
        <w:t>和</w:t>
      </w:r>
      <w:r>
        <w:rPr>
          <w:rFonts w:hint="eastAsia" w:ascii="仿宋" w:hAnsi="仿宋" w:eastAsia="仿宋" w:cs="仿宋"/>
          <w:b w:val="0"/>
          <w:bCs/>
          <w:color w:val="auto"/>
          <w:sz w:val="32"/>
          <w:szCs w:val="32"/>
          <w:highlight w:val="none"/>
          <w:shd w:val="clear" w:color="auto" w:fill="auto"/>
        </w:rPr>
        <w:t>隐患排查，督促企业全面履行安全生产主体责任</w:t>
      </w:r>
      <w:r>
        <w:rPr>
          <w:rFonts w:hint="eastAsia" w:ascii="仿宋" w:hAnsi="仿宋" w:eastAsia="仿宋" w:cs="仿宋"/>
          <w:b w:val="0"/>
          <w:bCs/>
          <w:color w:val="auto"/>
          <w:sz w:val="32"/>
          <w:szCs w:val="32"/>
          <w:highlight w:val="none"/>
          <w:shd w:val="clear" w:color="auto" w:fill="auto"/>
          <w:lang w:eastAsia="zh-CN"/>
        </w:rPr>
        <w:t>，</w:t>
      </w:r>
      <w:r>
        <w:rPr>
          <w:rFonts w:hint="eastAsia" w:ascii="仿宋" w:hAnsi="仿宋" w:eastAsia="仿宋" w:cs="仿宋"/>
          <w:b w:val="0"/>
          <w:bCs/>
          <w:color w:val="auto"/>
          <w:sz w:val="32"/>
          <w:szCs w:val="32"/>
          <w:highlight w:val="none"/>
          <w:shd w:val="clear" w:color="auto" w:fill="auto"/>
        </w:rPr>
        <w:t>坚决遏制重特大事故</w:t>
      </w:r>
      <w:r>
        <w:rPr>
          <w:rFonts w:hint="eastAsia" w:ascii="仿宋" w:hAnsi="仿宋" w:eastAsia="仿宋" w:cs="仿宋"/>
          <w:b w:val="0"/>
          <w:bCs/>
          <w:color w:val="auto"/>
          <w:sz w:val="32"/>
          <w:szCs w:val="32"/>
          <w:highlight w:val="none"/>
          <w:shd w:val="clear" w:color="auto" w:fill="auto"/>
          <w:lang w:eastAsia="zh-CN"/>
        </w:rPr>
        <w:t>发生</w:t>
      </w:r>
      <w:r>
        <w:rPr>
          <w:rFonts w:hint="eastAsia" w:ascii="仿宋" w:hAnsi="仿宋" w:eastAsia="仿宋" w:cs="仿宋"/>
          <w:b w:val="0"/>
          <w:bCs/>
          <w:color w:val="auto"/>
          <w:sz w:val="32"/>
          <w:szCs w:val="32"/>
          <w:highlight w:val="none"/>
          <w:shd w:val="clear" w:color="auto" w:fill="auto"/>
        </w:rPr>
        <w:t>。完善特种设备安全的全主体、全品种、全链条监管机制，</w:t>
      </w:r>
      <w:r>
        <w:rPr>
          <w:rFonts w:hint="eastAsia" w:ascii="仿宋" w:hAnsi="仿宋" w:eastAsia="仿宋" w:cs="仿宋"/>
          <w:b w:val="0"/>
          <w:bCs/>
          <w:color w:val="auto"/>
          <w:sz w:val="32"/>
          <w:szCs w:val="32"/>
          <w:highlight w:val="none"/>
          <w:shd w:val="clear" w:color="auto" w:fill="auto"/>
          <w:lang w:eastAsia="zh-CN"/>
        </w:rPr>
        <w:t>强化</w:t>
      </w:r>
      <w:r>
        <w:rPr>
          <w:rFonts w:hint="eastAsia" w:ascii="仿宋" w:hAnsi="仿宋" w:eastAsia="仿宋" w:cs="仿宋"/>
          <w:b w:val="0"/>
          <w:bCs/>
          <w:color w:val="auto"/>
          <w:sz w:val="32"/>
          <w:szCs w:val="32"/>
          <w:highlight w:val="none"/>
          <w:shd w:val="clear" w:color="auto" w:fill="auto"/>
        </w:rPr>
        <w:t>监督抽查</w:t>
      </w:r>
      <w:r>
        <w:rPr>
          <w:rFonts w:hint="eastAsia" w:ascii="仿宋" w:hAnsi="仿宋" w:eastAsia="仿宋" w:cs="仿宋"/>
          <w:b w:val="0"/>
          <w:bCs/>
          <w:color w:val="auto"/>
          <w:sz w:val="32"/>
          <w:szCs w:val="32"/>
          <w:highlight w:val="none"/>
          <w:shd w:val="clear" w:color="auto" w:fill="auto"/>
          <w:lang w:eastAsia="zh-CN"/>
        </w:rPr>
        <w:t>后处理</w:t>
      </w:r>
      <w:r>
        <w:rPr>
          <w:rFonts w:hint="eastAsia" w:ascii="仿宋" w:hAnsi="仿宋" w:eastAsia="仿宋" w:cs="仿宋"/>
          <w:b w:val="0"/>
          <w:bCs/>
          <w:color w:val="auto"/>
          <w:sz w:val="32"/>
          <w:szCs w:val="32"/>
          <w:highlight w:val="none"/>
          <w:shd w:val="clear" w:color="auto" w:fill="auto"/>
        </w:rPr>
        <w:t>，实行重大隐患治理逐级挂牌督办和整改效果评价。推动生产生活方式绿色转型，</w:t>
      </w:r>
      <w:r>
        <w:rPr>
          <w:rFonts w:hint="eastAsia" w:ascii="仿宋" w:hAnsi="仿宋" w:eastAsia="仿宋" w:cs="仿宋"/>
          <w:b w:val="0"/>
          <w:bCs/>
          <w:color w:val="auto"/>
          <w:sz w:val="32"/>
          <w:szCs w:val="32"/>
          <w:highlight w:val="none"/>
          <w:shd w:val="clear" w:color="auto" w:fill="auto"/>
          <w:lang w:val="en-US" w:eastAsia="zh-CN"/>
        </w:rPr>
        <w:t>建设内蒙古自治区高耗能特种设备绿色发展技术创新中心，</w:t>
      </w:r>
      <w:r>
        <w:rPr>
          <w:rFonts w:hint="eastAsia" w:ascii="仿宋" w:hAnsi="仿宋" w:eastAsia="仿宋" w:cs="仿宋"/>
          <w:b w:val="0"/>
          <w:bCs/>
          <w:color w:val="auto"/>
          <w:sz w:val="32"/>
          <w:szCs w:val="32"/>
          <w:highlight w:val="none"/>
          <w:shd w:val="clear" w:color="auto" w:fill="auto"/>
        </w:rPr>
        <w:t>不断提升特种设备安全节能环保水平。加强智慧监管，完善特种设备大数据分析、电梯应急处置等信息化系统。推动开展特种设备新材料、新工艺、新装备的基础与应用研究，提升特种设备本质安全。</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1"/>
        <w:textAlignment w:val="auto"/>
        <w:rPr>
          <w:rFonts w:hint="eastAsia" w:ascii="仿宋" w:hAnsi="仿宋" w:eastAsia="仿宋" w:cs="仿宋"/>
          <w:b w:val="0"/>
          <w:bCs/>
          <w:color w:val="auto"/>
          <w:sz w:val="32"/>
          <w:szCs w:val="32"/>
          <w:highlight w:val="none"/>
          <w:shd w:val="clear" w:color="auto" w:fill="auto"/>
        </w:rPr>
      </w:pPr>
      <w:r>
        <w:rPr>
          <w:rFonts w:hint="eastAsia" w:ascii="仿宋" w:hAnsi="仿宋" w:eastAsia="仿宋" w:cs="仿宋"/>
          <w:b w:val="0"/>
          <w:bCs/>
          <w:color w:val="auto"/>
          <w:sz w:val="32"/>
          <w:szCs w:val="32"/>
          <w:highlight w:val="none"/>
          <w:shd w:val="clear" w:color="auto" w:fill="auto"/>
        </w:rPr>
        <w:t>强化重点工业产品质量安全监管。强化质量安全风险意识，完善重点监管产品目录，实施产品质量安全分类监管，重点抓好工业产品、重要消费品、涉学涉童产品、电子商务产品和食品相关产品质量安全监管。加快建立消费品质量安全反溯机制，落实缺陷产品召回制度，完善配套制度，加大质量违法行为曝光力度。深化工业产品生产许可、监督抽查和风险监测制度改革，提升事中事后监管能力。完善产品质量监督抽查制度，严格落实抽检分离，推广“双随机、一公开”模式，强化监督抽检后处理。创新监管方式和手段，推动企业建立产品质量安全承诺制，督促企业自主排查、主动报告风险隐患，引导企业开展质量安全追溯试点工作。建立消费品质量安全风险快速响应和联动处置机制，加强生产与流通领域监管联动，形成上下联动、横向协同监管合力，全面提高质量安全风险监测、研判、预警和处置能力。</w:t>
      </w:r>
      <w:bookmarkStart w:id="29" w:name="_Toc69226846"/>
      <w:bookmarkStart w:id="30" w:name="_Toc69227025"/>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1"/>
        <w:textAlignment w:val="auto"/>
        <w:rPr>
          <w:rFonts w:hint="eastAsia" w:ascii="仿宋" w:hAnsi="仿宋" w:eastAsia="仿宋" w:cs="仿宋"/>
          <w:b w:val="0"/>
          <w:bCs/>
          <w:color w:val="auto"/>
          <w:kern w:val="2"/>
          <w:sz w:val="32"/>
          <w:szCs w:val="32"/>
          <w:highlight w:val="none"/>
          <w:shd w:val="clear" w:color="auto" w:fill="auto"/>
          <w:lang w:val="en-US" w:eastAsia="zh-CN" w:bidi="ar-SA"/>
        </w:rPr>
      </w:pPr>
      <w:r>
        <w:rPr>
          <w:rFonts w:hint="eastAsia" w:ascii="仿宋" w:hAnsi="仿宋" w:eastAsia="仿宋" w:cs="仿宋"/>
          <w:b w:val="0"/>
          <w:bCs/>
          <w:color w:val="auto"/>
          <w:sz w:val="32"/>
          <w:szCs w:val="32"/>
          <w:highlight w:val="none"/>
          <w:shd w:val="clear" w:color="auto" w:fill="auto"/>
        </w:rPr>
        <w:t>提高消费者权益保护水平。</w:t>
      </w:r>
      <w:r>
        <w:rPr>
          <w:rFonts w:hint="eastAsia" w:ascii="仿宋" w:hAnsi="仿宋" w:eastAsia="仿宋" w:cs="仿宋"/>
          <w:b w:val="0"/>
          <w:bCs/>
          <w:color w:val="auto"/>
          <w:kern w:val="2"/>
          <w:sz w:val="32"/>
          <w:szCs w:val="32"/>
          <w:highlight w:val="none"/>
          <w:shd w:val="clear" w:color="auto" w:fill="auto"/>
          <w:lang w:val="en-US" w:eastAsia="zh-CN" w:bidi="ar-SA"/>
        </w:rPr>
        <w:t>加大消费宣传教育力度，及时发布消费警示，推行消费投诉信息公示，破解消费领域信息不对称的问题，提升消费者预防风险、依法维权的意识和能力。开展“放心消费在内蒙古”创建活动，发挥示范引领作用，促进消费升级。持续畅通投诉举报渠道，推进投诉举报热线和平台一体化建设。完善消费维权制度，加大消费维权行政执法和司法保护力度，建立完善110报警平台涉案线索双向推送机制，推进“诉转案”工作，严防“以调代罚”现象。完善部门联席会议制度，鼓励社会力量建立消费仲裁机构，健全行政机关、人民调解组织、专业组织和人民法院、仲裁机构相衔接的消费争议多元化解机制。</w:t>
      </w:r>
    </w:p>
    <w:p>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0"/>
        <w:rPr>
          <w:rFonts w:hint="eastAsia" w:ascii="仿宋" w:hAnsi="仿宋" w:eastAsia="仿宋" w:cs="仿宋"/>
          <w:b/>
          <w:bCs/>
          <w:color w:val="auto"/>
          <w:highlight w:val="none"/>
          <w:shd w:val="clear" w:color="auto" w:fill="auto"/>
        </w:rPr>
      </w:pPr>
      <w:bookmarkStart w:id="31" w:name="_Toc21171"/>
      <w:r>
        <w:rPr>
          <w:rFonts w:hint="eastAsia" w:ascii="楷体" w:hAnsi="楷体" w:eastAsia="楷体" w:cs="楷体"/>
          <w:b w:val="0"/>
          <w:bCs w:val="0"/>
          <w:color w:val="auto"/>
          <w:kern w:val="0"/>
          <w:sz w:val="32"/>
          <w:szCs w:val="32"/>
          <w:highlight w:val="none"/>
          <w:shd w:val="clear" w:color="auto" w:fill="auto"/>
          <w:lang w:val="en-US" w:eastAsia="zh-CN" w:bidi="zh-CN"/>
        </w:rPr>
        <w:t>第四节  建设高标准的质量发展环境</w:t>
      </w:r>
      <w:bookmarkEnd w:id="31"/>
    </w:p>
    <w:p>
      <w:pPr>
        <w:pStyle w:val="3"/>
        <w:keepNext w:val="0"/>
        <w:keepLines w:val="0"/>
        <w:pageBreakBefore w:val="0"/>
        <w:widowControl w:val="0"/>
        <w:kinsoku/>
        <w:wordWrap/>
        <w:overflowPunct/>
        <w:topLinePunct/>
        <w:autoSpaceDE/>
        <w:autoSpaceDN/>
        <w:bidi w:val="0"/>
        <w:adjustRightInd/>
        <w:snapToGrid/>
        <w:spacing w:after="157" w:afterLines="50" w:line="580" w:lineRule="exact"/>
        <w:ind w:left="0" w:leftChars="0" w:right="0" w:rightChars="0" w:firstLine="640" w:firstLineChars="200"/>
        <w:jc w:val="both"/>
        <w:textAlignment w:val="auto"/>
        <w:outlineLvl w:val="9"/>
        <w:rPr>
          <w:rFonts w:hint="eastAsia"/>
        </w:rPr>
      </w:pPr>
      <w:r>
        <w:rPr>
          <w:rFonts w:hint="eastAsia" w:ascii="仿宋" w:hAnsi="仿宋" w:eastAsia="仿宋" w:cs="仿宋"/>
          <w:b w:val="0"/>
          <w:bCs/>
          <w:color w:val="auto"/>
          <w:kern w:val="0"/>
          <w:highlight w:val="none"/>
          <w:shd w:val="clear" w:color="auto" w:fill="auto"/>
        </w:rPr>
        <w:t>实施质量强区战略。围绕“两个基地”建设，持续深化质量强区战略，迭代升级质量提升行动，健全大质量工作机制。发挥自治区质量强区</w:t>
      </w:r>
      <w:r>
        <w:rPr>
          <w:rFonts w:hint="eastAsia" w:ascii="仿宋" w:hAnsi="仿宋" w:eastAsia="仿宋" w:cs="仿宋"/>
          <w:b w:val="0"/>
          <w:bCs/>
          <w:color w:val="auto"/>
          <w:kern w:val="0"/>
          <w:highlight w:val="none"/>
          <w:shd w:val="clear" w:color="auto" w:fill="auto"/>
          <w:lang w:eastAsia="zh-CN"/>
        </w:rPr>
        <w:t>工作领导小组</w:t>
      </w:r>
      <w:r>
        <w:rPr>
          <w:rFonts w:hint="eastAsia" w:ascii="仿宋" w:hAnsi="仿宋" w:eastAsia="仿宋" w:cs="仿宋"/>
          <w:b w:val="0"/>
          <w:bCs/>
          <w:color w:val="auto"/>
          <w:kern w:val="0"/>
          <w:highlight w:val="none"/>
          <w:shd w:val="clear" w:color="auto" w:fill="auto"/>
        </w:rPr>
        <w:t>办公室作用，加强质量工作组织领导和部门联动。激励、引导、推动市场主体树立质量第一的强烈意识，推动质量创新，大力推广先进质量管理方法。加强质量文化建设，开展群众性质量活动，营造崇尚质量第一的社会氛围。深入推进质量工作考核，落实地方质量工作责任制。发挥质量基础设施融合效应，大力推进协同服务，开展服务</w:t>
      </w:r>
      <w:r>
        <w:rPr>
          <w:rFonts w:hint="eastAsia" w:ascii="仿宋" w:hAnsi="仿宋" w:eastAsia="仿宋" w:cs="仿宋"/>
          <w:b w:val="0"/>
          <w:bCs/>
          <w:color w:val="auto"/>
          <w:kern w:val="0"/>
          <w:highlight w:val="none"/>
          <w:shd w:val="clear" w:color="auto" w:fill="auto"/>
          <w:lang w:eastAsia="zh-CN"/>
        </w:rPr>
        <w:t>绿色</w:t>
      </w:r>
      <w:r>
        <w:rPr>
          <w:rFonts w:hint="eastAsia" w:ascii="仿宋" w:hAnsi="仿宋" w:eastAsia="仿宋" w:cs="仿宋"/>
          <w:b w:val="0"/>
          <w:bCs/>
          <w:color w:val="auto"/>
          <w:kern w:val="0"/>
          <w:highlight w:val="none"/>
          <w:shd w:val="clear" w:color="auto" w:fill="auto"/>
        </w:rPr>
        <w:t>特色优势产业高质量发展行动和中小企业质量管理水平提升行动，鼓励中小企业做专做精，鼓励龙头企业加强同中小关联企业的合作，助力实现产业基础高级化、产业链现代化。持续开展质量统计监测评价，强化结果运用，引导各方共同提升服务质量水平。</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vertAlign w:val="baseline"/>
              </w:rPr>
            </w:pPr>
            <w:r>
              <w:rPr>
                <w:rFonts w:hint="eastAsia" w:ascii="黑体" w:hAnsi="黑体" w:eastAsia="黑体" w:cs="黑体"/>
                <w:b w:val="0"/>
                <w:bCs w:val="0"/>
                <w:color w:val="000000"/>
                <w:sz w:val="32"/>
                <w:szCs w:val="32"/>
              </w:rPr>
              <w:t>专栏</w:t>
            </w:r>
            <w:r>
              <w:rPr>
                <w:rFonts w:hint="eastAsia" w:ascii="黑体" w:hAnsi="黑体" w:eastAsia="黑体" w:cs="黑体"/>
                <w:b w:val="0"/>
                <w:bCs w:val="0"/>
                <w:color w:val="000000"/>
                <w:sz w:val="32"/>
                <w:szCs w:val="32"/>
                <w:lang w:val="en-US" w:eastAsia="zh-CN"/>
              </w:rPr>
              <w:t xml:space="preserve">3  </w:t>
            </w:r>
            <w:r>
              <w:rPr>
                <w:rFonts w:hint="eastAsia" w:ascii="黑体" w:hAnsi="黑体" w:eastAsia="黑体" w:cs="黑体"/>
                <w:b w:val="0"/>
                <w:bCs w:val="0"/>
                <w:color w:val="000000"/>
                <w:sz w:val="32"/>
                <w:szCs w:val="32"/>
              </w:rPr>
              <w:t>全面提升质量高线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74" w:type="dxa"/>
            <w:noWrap w:val="0"/>
            <w:vAlign w:val="top"/>
          </w:tcPr>
          <w:p>
            <w:pPr>
              <w:pStyle w:val="21"/>
              <w:keepNext w:val="0"/>
              <w:keepLines w:val="0"/>
              <w:pageBreakBefore w:val="0"/>
              <w:widowControl w:val="0"/>
              <w:tabs>
                <w:tab w:val="left" w:pos="0"/>
              </w:tabs>
              <w:kinsoku/>
              <w:wordWrap/>
              <w:overflowPunct/>
              <w:topLinePunct w:val="0"/>
              <w:autoSpaceDE/>
              <w:autoSpaceDN/>
              <w:bidi w:val="0"/>
              <w:adjustRightInd/>
              <w:snapToGrid/>
              <w:spacing w:line="380" w:lineRule="exact"/>
              <w:ind w:left="0" w:leftChars="0" w:right="0" w:rightChars="0" w:firstLine="560" w:firstLineChars="200"/>
              <w:jc w:val="both"/>
              <w:textAlignment w:val="auto"/>
              <w:outlineLvl w:val="9"/>
              <w:rPr>
                <w:rFonts w:hint="eastAsia" w:ascii="仿宋" w:hAnsi="仿宋" w:eastAsia="仿宋" w:cs="仿宋"/>
                <w:b w:val="0"/>
                <w:bCs w:val="0"/>
                <w:sz w:val="28"/>
                <w:szCs w:val="28"/>
              </w:rPr>
            </w:pPr>
            <w:r>
              <w:rPr>
                <w:rFonts w:hint="eastAsia" w:ascii="楷体" w:hAnsi="楷体" w:eastAsia="楷体" w:cs="楷体"/>
                <w:b w:val="0"/>
                <w:bCs w:val="0"/>
                <w:color w:val="000000"/>
                <w:sz w:val="28"/>
                <w:szCs w:val="28"/>
              </w:rPr>
              <w:t>1.</w:t>
            </w:r>
            <w:r>
              <w:rPr>
                <w:rFonts w:hint="eastAsia" w:ascii="楷体" w:hAnsi="楷体" w:eastAsia="楷体" w:cs="楷体"/>
                <w:b w:val="0"/>
                <w:bCs w:val="0"/>
                <w:color w:val="000000"/>
                <w:sz w:val="28"/>
                <w:szCs w:val="28"/>
                <w:lang w:eastAsia="zh-CN"/>
              </w:rPr>
              <w:t>绿色</w:t>
            </w:r>
            <w:r>
              <w:rPr>
                <w:rFonts w:hint="eastAsia" w:ascii="楷体" w:hAnsi="楷体" w:eastAsia="楷体" w:cs="楷体"/>
                <w:b w:val="0"/>
                <w:bCs w:val="0"/>
                <w:color w:val="000000"/>
                <w:sz w:val="28"/>
                <w:szCs w:val="28"/>
              </w:rPr>
              <w:t>特色优势产业高质量发展工程。</w:t>
            </w:r>
            <w:r>
              <w:rPr>
                <w:rFonts w:hint="eastAsia" w:ascii="仿宋" w:hAnsi="仿宋" w:eastAsia="仿宋" w:cs="仿宋"/>
                <w:b w:val="0"/>
                <w:bCs w:val="0"/>
                <w:sz w:val="28"/>
                <w:szCs w:val="28"/>
              </w:rPr>
              <w:t>聚焦自治区</w:t>
            </w:r>
            <w:r>
              <w:rPr>
                <w:rFonts w:hint="eastAsia" w:ascii="仿宋" w:hAnsi="仿宋" w:eastAsia="仿宋" w:cs="仿宋"/>
                <w:b w:val="0"/>
                <w:bCs w:val="0"/>
                <w:sz w:val="28"/>
                <w:szCs w:val="28"/>
                <w:lang w:eastAsia="zh-CN"/>
              </w:rPr>
              <w:t>绿色</w:t>
            </w:r>
            <w:r>
              <w:rPr>
                <w:rFonts w:hint="eastAsia" w:ascii="仿宋" w:hAnsi="仿宋" w:eastAsia="仿宋" w:cs="仿宋"/>
                <w:b w:val="0"/>
                <w:bCs w:val="0"/>
                <w:sz w:val="28"/>
                <w:szCs w:val="28"/>
              </w:rPr>
              <w:t>特色优势产业，开展服务</w:t>
            </w:r>
            <w:r>
              <w:rPr>
                <w:rFonts w:hint="eastAsia" w:ascii="仿宋" w:hAnsi="仿宋" w:eastAsia="仿宋" w:cs="仿宋"/>
                <w:b w:val="0"/>
                <w:bCs w:val="0"/>
                <w:sz w:val="28"/>
                <w:szCs w:val="28"/>
                <w:lang w:eastAsia="zh-CN"/>
              </w:rPr>
              <w:t>绿色</w:t>
            </w:r>
            <w:r>
              <w:rPr>
                <w:rFonts w:hint="eastAsia" w:ascii="仿宋" w:hAnsi="仿宋" w:eastAsia="仿宋" w:cs="仿宋"/>
                <w:b w:val="0"/>
                <w:bCs w:val="0"/>
                <w:sz w:val="28"/>
                <w:szCs w:val="28"/>
              </w:rPr>
              <w:t>特色优势产业高质量发展行动。以服务产业为切入点，以企业项目为发力点，以产业升级为落脚点，选准主攻方向，集成技术力量，强化协同攻坚，“一企一策，一业一案”</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持续实施“滴灌式”精准服务，提高企业质量效益和核心竞争力，推动</w:t>
            </w:r>
            <w:r>
              <w:rPr>
                <w:rFonts w:hint="eastAsia" w:ascii="仿宋" w:hAnsi="仿宋" w:eastAsia="仿宋" w:cs="仿宋"/>
                <w:b w:val="0"/>
                <w:bCs w:val="0"/>
                <w:sz w:val="28"/>
                <w:szCs w:val="28"/>
                <w:lang w:eastAsia="zh-CN"/>
              </w:rPr>
              <w:t>绿色</w:t>
            </w:r>
            <w:r>
              <w:rPr>
                <w:rFonts w:hint="eastAsia" w:ascii="仿宋" w:hAnsi="仿宋" w:eastAsia="仿宋" w:cs="仿宋"/>
                <w:b w:val="0"/>
                <w:bCs w:val="0"/>
                <w:sz w:val="28"/>
                <w:szCs w:val="28"/>
              </w:rPr>
              <w:t>特色优势产业高质量发展。</w:t>
            </w:r>
          </w:p>
          <w:p>
            <w:pPr>
              <w:pStyle w:val="21"/>
              <w:keepNext w:val="0"/>
              <w:keepLines w:val="0"/>
              <w:pageBreakBefore w:val="0"/>
              <w:widowControl w:val="0"/>
              <w:tabs>
                <w:tab w:val="left" w:pos="0"/>
              </w:tabs>
              <w:kinsoku/>
              <w:wordWrap/>
              <w:overflowPunct/>
              <w:topLinePunct w:val="0"/>
              <w:autoSpaceDE/>
              <w:autoSpaceDN/>
              <w:bidi w:val="0"/>
              <w:adjustRightInd/>
              <w:snapToGrid/>
              <w:spacing w:line="380" w:lineRule="exact"/>
              <w:ind w:left="0" w:leftChars="0" w:right="0" w:rightChars="0" w:firstLine="560" w:firstLineChars="200"/>
              <w:jc w:val="both"/>
              <w:textAlignment w:val="auto"/>
              <w:outlineLvl w:val="9"/>
              <w:rPr>
                <w:rFonts w:hint="eastAsia" w:ascii="仿宋" w:hAnsi="仿宋" w:eastAsia="仿宋" w:cs="仿宋"/>
                <w:b w:val="0"/>
                <w:bCs w:val="0"/>
                <w:sz w:val="28"/>
                <w:szCs w:val="28"/>
              </w:rPr>
            </w:pPr>
            <w:r>
              <w:rPr>
                <w:rFonts w:hint="eastAsia" w:ascii="楷体" w:hAnsi="楷体" w:eastAsia="楷体" w:cs="楷体"/>
                <w:b w:val="0"/>
                <w:bCs w:val="0"/>
                <w:color w:val="000000"/>
                <w:sz w:val="28"/>
                <w:szCs w:val="28"/>
              </w:rPr>
              <w:t>2.中小企业质量管理水平提升工程。</w:t>
            </w:r>
            <w:r>
              <w:rPr>
                <w:rFonts w:hint="eastAsia" w:ascii="仿宋" w:hAnsi="仿宋" w:eastAsia="仿宋" w:cs="仿宋"/>
                <w:b w:val="0"/>
                <w:bCs w:val="0"/>
                <w:sz w:val="28"/>
                <w:szCs w:val="28"/>
              </w:rPr>
              <w:t>编制推行适合内蒙古中小企业的《卓越绩效评价准则》。联合内蒙古大学等高校，面向中小企业负责人分批分期组织专题培训。指导各盟市开展服务500家中小企业质量管理水平提升工作。多措并举，支持、鼓励和引导中小企业牢固树立质量意识，正确运用先进管理方法，不断提高企业质量管理水平。</w:t>
            </w:r>
          </w:p>
          <w:p>
            <w:pPr>
              <w:pStyle w:val="21"/>
              <w:keepNext w:val="0"/>
              <w:keepLines w:val="0"/>
              <w:pageBreakBefore w:val="0"/>
              <w:widowControl w:val="0"/>
              <w:tabs>
                <w:tab w:val="left" w:pos="0"/>
              </w:tabs>
              <w:kinsoku/>
              <w:wordWrap/>
              <w:overflowPunct/>
              <w:topLinePunct w:val="0"/>
              <w:autoSpaceDE/>
              <w:autoSpaceDN/>
              <w:bidi w:val="0"/>
              <w:adjustRightInd/>
              <w:snapToGrid/>
              <w:spacing w:line="380" w:lineRule="exact"/>
              <w:ind w:left="0" w:leftChars="0" w:right="0" w:rightChars="0" w:firstLine="560" w:firstLineChars="200"/>
              <w:jc w:val="both"/>
              <w:textAlignment w:val="auto"/>
              <w:outlineLvl w:val="9"/>
              <w:rPr>
                <w:rFonts w:hint="eastAsia"/>
                <w:vertAlign w:val="baseline"/>
              </w:rPr>
            </w:pPr>
            <w:r>
              <w:rPr>
                <w:rFonts w:hint="eastAsia" w:ascii="楷体" w:hAnsi="楷体" w:eastAsia="楷体" w:cs="楷体"/>
                <w:b w:val="0"/>
                <w:bCs w:val="0"/>
                <w:color w:val="000000"/>
                <w:sz w:val="28"/>
                <w:szCs w:val="28"/>
              </w:rPr>
              <w:t>3.建设质量基础设施“一站式”综合服务平台。</w:t>
            </w:r>
            <w:r>
              <w:rPr>
                <w:rFonts w:hint="eastAsia" w:ascii="仿宋" w:hAnsi="仿宋" w:eastAsia="仿宋" w:cs="仿宋"/>
                <w:b w:val="0"/>
                <w:bCs w:val="0"/>
                <w:sz w:val="28"/>
                <w:szCs w:val="28"/>
              </w:rPr>
              <w:t>立足自治区产业发展，整合计量、标准、检验检测、认证认可、知识产权、质量管理等要素，建设具有质量信息咨询、标准查新、检验检测、检定校准业务网上办、专家库管理等多功能、多模块的线上服务平台。组建质量服务专家队伍，设立盟市级质量服务窗口，受理企业需求，对接服务项目，构建线上线下联动、多点支撑的综合服务平台。</w:t>
            </w:r>
          </w:p>
        </w:tc>
      </w:tr>
    </w:tbl>
    <w:p>
      <w:pPr>
        <w:pStyle w:val="3"/>
        <w:keepNext w:val="0"/>
        <w:keepLines w:val="0"/>
        <w:pageBreakBefore w:val="0"/>
        <w:widowControl w:val="0"/>
        <w:kinsoku/>
        <w:wordWrap/>
        <w:overflowPunct/>
        <w:topLinePunct/>
        <w:autoSpaceDE/>
        <w:autoSpaceDN/>
        <w:bidi w:val="0"/>
        <w:adjustRightInd/>
        <w:snapToGrid/>
        <w:spacing w:before="157" w:beforeLines="50" w:after="157" w:afterLines="50" w:line="580" w:lineRule="exact"/>
        <w:ind w:left="0" w:leftChars="0" w:right="0" w:rightChars="0" w:firstLine="641" w:firstLineChars="0"/>
        <w:jc w:val="both"/>
        <w:textAlignment w:val="auto"/>
        <w:outlineLvl w:val="9"/>
        <w:rPr>
          <w:rFonts w:hint="eastAsia"/>
        </w:rPr>
      </w:pPr>
      <w:r>
        <w:rPr>
          <w:rFonts w:hint="eastAsia" w:ascii="仿宋" w:hAnsi="仿宋" w:eastAsia="仿宋" w:cs="仿宋"/>
          <w:b w:val="0"/>
          <w:bCs/>
          <w:color w:val="auto"/>
          <w:kern w:val="0"/>
          <w:highlight w:val="none"/>
          <w:shd w:val="clear" w:color="auto" w:fill="auto"/>
        </w:rPr>
        <w:t>实施品牌培育工程。</w:t>
      </w:r>
      <w:r>
        <w:rPr>
          <w:rFonts w:hint="eastAsia" w:ascii="仿宋" w:hAnsi="仿宋" w:eastAsia="仿宋" w:cs="仿宋"/>
          <w:b w:val="0"/>
          <w:bCs/>
          <w:color w:val="auto"/>
          <w:highlight w:val="none"/>
          <w:shd w:val="clear" w:color="auto" w:fill="auto"/>
        </w:rPr>
        <w:t>运用政府质量奖、质量强市示范城市、质量品牌提升示范区等质量激励措施，推进品牌建设。</w:t>
      </w:r>
      <w:r>
        <w:rPr>
          <w:rFonts w:hint="eastAsia" w:ascii="仿宋" w:hAnsi="仿宋" w:eastAsia="仿宋" w:cs="仿宋"/>
          <w:b w:val="0"/>
          <w:bCs/>
          <w:color w:val="auto"/>
          <w:kern w:val="0"/>
          <w:highlight w:val="none"/>
          <w:shd w:val="clear" w:color="auto" w:fill="auto"/>
        </w:rPr>
        <w:t>科学开展品牌培育活动，围绕自治区商标品牌、地理标志，优选经济效益好、发展规模大、产品市场竞争力强、在国内有影响力的企业，分层次进行品牌培育。以“扩大商标品牌总量、提升商标品牌质量”为主线，帮助市场主体注册商标、丰富商标内涵、增加商标资产价值，增强市场竞争力。鼓励行业组织和企业对具有一定影响力的区域品牌、企业品牌、产品品牌进行国际商标注册，参与国际竞争，培育打造更多</w:t>
      </w:r>
      <w:bookmarkStart w:id="32" w:name="_Hlk69706826"/>
      <w:r>
        <w:rPr>
          <w:rFonts w:hint="eastAsia" w:ascii="仿宋" w:hAnsi="仿宋" w:eastAsia="仿宋" w:cs="仿宋"/>
          <w:b w:val="0"/>
          <w:bCs/>
          <w:color w:val="auto"/>
          <w:kern w:val="0"/>
          <w:highlight w:val="none"/>
          <w:shd w:val="clear" w:color="auto" w:fill="auto"/>
        </w:rPr>
        <w:t>优势特色区域公用品牌</w:t>
      </w:r>
      <w:bookmarkEnd w:id="32"/>
      <w:r>
        <w:rPr>
          <w:rFonts w:hint="eastAsia" w:ascii="仿宋" w:hAnsi="仿宋" w:eastAsia="仿宋" w:cs="仿宋"/>
          <w:b w:val="0"/>
          <w:bCs/>
          <w:color w:val="auto"/>
          <w:kern w:val="0"/>
          <w:highlight w:val="none"/>
          <w:shd w:val="clear" w:color="auto" w:fill="auto"/>
        </w:rPr>
        <w:t>。深入实施“蒙”字标认证行动，增加优质绿色农畜产品供给，提升</w:t>
      </w:r>
      <w:r>
        <w:rPr>
          <w:rFonts w:hint="eastAsia" w:ascii="仿宋" w:hAnsi="仿宋" w:eastAsia="仿宋" w:cs="仿宋"/>
          <w:b w:val="0"/>
          <w:bCs/>
          <w:color w:val="auto"/>
          <w:kern w:val="0"/>
          <w:highlight w:val="none"/>
          <w:shd w:val="clear" w:color="auto" w:fill="auto"/>
          <w:lang w:eastAsia="zh-CN"/>
        </w:rPr>
        <w:t>内蒙古自治区</w:t>
      </w:r>
      <w:r>
        <w:rPr>
          <w:rFonts w:hint="eastAsia" w:ascii="仿宋" w:hAnsi="仿宋" w:eastAsia="仿宋" w:cs="仿宋"/>
          <w:b w:val="0"/>
          <w:bCs/>
          <w:color w:val="auto"/>
          <w:kern w:val="0"/>
          <w:highlight w:val="none"/>
          <w:shd w:val="clear" w:color="auto" w:fill="auto"/>
        </w:rPr>
        <w:t>绿色资源的生命力和竞争力，助力</w:t>
      </w:r>
      <w:r>
        <w:rPr>
          <w:rFonts w:hint="eastAsia" w:ascii="仿宋" w:hAnsi="仿宋" w:eastAsia="仿宋" w:cs="仿宋"/>
          <w:b w:val="0"/>
          <w:bCs/>
          <w:color w:val="auto"/>
          <w:highlight w:val="none"/>
          <w:shd w:val="clear" w:color="auto" w:fill="auto"/>
        </w:rPr>
        <w:t>国家重要农畜产品生产基地建设</w:t>
      </w:r>
      <w:r>
        <w:rPr>
          <w:rFonts w:hint="eastAsia" w:ascii="仿宋" w:hAnsi="仿宋" w:eastAsia="仿宋" w:cs="仿宋"/>
          <w:b w:val="0"/>
          <w:bCs/>
          <w:color w:val="auto"/>
          <w:kern w:val="0"/>
          <w:highlight w:val="none"/>
          <w:shd w:val="clear" w:color="auto" w:fill="auto"/>
        </w:rPr>
        <w:t>。加强地理标志挖掘、培育、申报、运用等工作，打造乡村振兴的“金字招牌”。</w:t>
      </w:r>
      <w:bookmarkEnd w:id="29"/>
      <w:bookmarkEnd w:id="30"/>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rPr>
            </w:pPr>
            <w:r>
              <w:rPr>
                <w:rFonts w:hint="eastAsia" w:ascii="黑体" w:hAnsi="黑体" w:eastAsia="黑体" w:cs="黑体"/>
                <w:b w:val="0"/>
                <w:bCs w:val="0"/>
                <w:sz w:val="32"/>
                <w:szCs w:val="32"/>
              </w:rPr>
              <w:t>专栏</w:t>
            </w:r>
            <w:r>
              <w:rPr>
                <w:rFonts w:hint="eastAsia" w:ascii="黑体" w:hAnsi="黑体" w:eastAsia="黑体" w:cs="黑体"/>
                <w:b w:val="0"/>
                <w:bCs w:val="0"/>
                <w:sz w:val="32"/>
                <w:szCs w:val="32"/>
                <w:lang w:val="en-US" w:eastAsia="zh-CN"/>
              </w:rPr>
              <w:t xml:space="preserve">4  </w:t>
            </w:r>
            <w:r>
              <w:rPr>
                <w:rFonts w:hint="eastAsia" w:ascii="黑体" w:hAnsi="黑体" w:eastAsia="黑体" w:cs="黑体"/>
                <w:b w:val="0"/>
                <w:bCs w:val="0"/>
                <w:sz w:val="32"/>
                <w:szCs w:val="32"/>
                <w:lang w:eastAsia="zh-CN"/>
              </w:rPr>
              <w:t>绿色</w:t>
            </w:r>
            <w:r>
              <w:rPr>
                <w:rFonts w:hint="eastAsia" w:ascii="黑体" w:hAnsi="黑体" w:eastAsia="黑体" w:cs="黑体"/>
                <w:b w:val="0"/>
                <w:bCs w:val="0"/>
                <w:sz w:val="32"/>
                <w:szCs w:val="32"/>
              </w:rPr>
              <w:t>优势特色产品品牌培育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74" w:type="dxa"/>
            <w:noWrap w:val="0"/>
            <w:vAlign w:val="top"/>
          </w:tcPr>
          <w:p>
            <w:pPr>
              <w:pStyle w:val="21"/>
              <w:keepNext w:val="0"/>
              <w:keepLines w:val="0"/>
              <w:pageBreakBefore w:val="0"/>
              <w:widowControl w:val="0"/>
              <w:tabs>
                <w:tab w:val="left" w:pos="0"/>
              </w:tabs>
              <w:kinsoku/>
              <w:wordWrap/>
              <w:overflowPunct/>
              <w:topLinePunct w:val="0"/>
              <w:autoSpaceDE/>
              <w:autoSpaceDN/>
              <w:bidi w:val="0"/>
              <w:adjustRightInd/>
              <w:snapToGrid/>
              <w:spacing w:line="400" w:lineRule="exact"/>
              <w:ind w:firstLine="482"/>
              <w:textAlignment w:val="auto"/>
              <w:rPr>
                <w:rFonts w:hint="eastAsia" w:ascii="仿宋" w:hAnsi="仿宋" w:eastAsia="仿宋" w:cs="仿宋"/>
                <w:b w:val="0"/>
                <w:bCs w:val="0"/>
                <w:color w:val="000000"/>
                <w:sz w:val="28"/>
                <w:szCs w:val="28"/>
              </w:rPr>
            </w:pPr>
            <w:r>
              <w:rPr>
                <w:rFonts w:hint="eastAsia" w:ascii="楷体" w:hAnsi="楷体" w:eastAsia="楷体" w:cs="楷体"/>
                <w:b w:val="0"/>
                <w:bCs w:val="0"/>
                <w:color w:val="000000"/>
                <w:sz w:val="28"/>
                <w:szCs w:val="28"/>
              </w:rPr>
              <w:t>1.</w:t>
            </w:r>
            <w:r>
              <w:rPr>
                <w:rFonts w:hint="eastAsia" w:ascii="楷体" w:hAnsi="楷体" w:eastAsia="楷体" w:cs="楷体"/>
                <w:b w:val="0"/>
                <w:bCs w:val="0"/>
                <w:color w:val="000000"/>
                <w:sz w:val="28"/>
                <w:szCs w:val="28"/>
                <w:lang w:eastAsia="zh-CN"/>
              </w:rPr>
              <w:t>地方特色乳制品</w:t>
            </w:r>
            <w:r>
              <w:rPr>
                <w:rFonts w:hint="eastAsia" w:ascii="楷体" w:hAnsi="楷体" w:eastAsia="楷体" w:cs="楷体"/>
                <w:b w:val="0"/>
                <w:bCs w:val="0"/>
                <w:color w:val="000000"/>
                <w:sz w:val="28"/>
                <w:szCs w:val="28"/>
              </w:rPr>
              <w:t>品牌创建项目。</w:t>
            </w:r>
            <w:r>
              <w:rPr>
                <w:rFonts w:hint="eastAsia" w:ascii="仿宋" w:hAnsi="仿宋" w:eastAsia="仿宋" w:cs="仿宋"/>
                <w:b w:val="0"/>
                <w:bCs w:val="0"/>
                <w:color w:val="000000"/>
                <w:sz w:val="28"/>
                <w:szCs w:val="28"/>
              </w:rPr>
              <w:t>布局一批试点，推进品牌建设。通过优准入、建标准、严检测、抓示范、创品牌，进一步完善</w:t>
            </w:r>
            <w:r>
              <w:rPr>
                <w:rFonts w:hint="eastAsia" w:ascii="仿宋" w:hAnsi="仿宋" w:eastAsia="仿宋" w:cs="仿宋"/>
                <w:b w:val="0"/>
                <w:bCs w:val="0"/>
                <w:color w:val="000000"/>
                <w:sz w:val="28"/>
                <w:szCs w:val="28"/>
                <w:lang w:eastAsia="zh-CN"/>
              </w:rPr>
              <w:t>地方特色乳</w:t>
            </w:r>
            <w:r>
              <w:rPr>
                <w:rFonts w:hint="eastAsia" w:ascii="仿宋" w:hAnsi="仿宋" w:eastAsia="仿宋" w:cs="仿宋"/>
                <w:b w:val="0"/>
                <w:bCs w:val="0"/>
                <w:color w:val="000000"/>
                <w:sz w:val="28"/>
                <w:szCs w:val="28"/>
              </w:rPr>
              <w:t>制品标准体系。持续开展专项整治。加强宣传推广工作。助力扩大产业规模。</w:t>
            </w:r>
          </w:p>
          <w:p>
            <w:pPr>
              <w:pStyle w:val="21"/>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vertAlign w:val="baseline"/>
              </w:rPr>
            </w:pPr>
            <w:r>
              <w:rPr>
                <w:rFonts w:hint="eastAsia" w:ascii="楷体" w:hAnsi="楷体" w:eastAsia="楷体" w:cs="楷体"/>
                <w:b w:val="0"/>
                <w:bCs w:val="0"/>
                <w:color w:val="000000"/>
                <w:sz w:val="28"/>
                <w:szCs w:val="28"/>
              </w:rPr>
              <w:t>2.“蒙”字标认证行动。</w:t>
            </w:r>
            <w:r>
              <w:rPr>
                <w:rFonts w:hint="eastAsia" w:ascii="仿宋" w:hAnsi="仿宋" w:eastAsia="仿宋" w:cs="仿宋"/>
                <w:b w:val="0"/>
                <w:bCs w:val="0"/>
                <w:color w:val="000000"/>
                <w:sz w:val="28"/>
                <w:szCs w:val="28"/>
              </w:rPr>
              <w:t>深入推进“蒙”字标认证行动，打造“蒙”字标品牌。对“蒙”字标认证产品的原材料、生产加工、包装</w:t>
            </w:r>
            <w:r>
              <w:rPr>
                <w:rFonts w:hint="eastAsia" w:ascii="仿宋" w:hAnsi="仿宋" w:eastAsia="仿宋" w:cs="仿宋"/>
                <w:color w:val="000000"/>
                <w:sz w:val="28"/>
                <w:szCs w:val="28"/>
              </w:rPr>
              <w:t>、物流运输以及终端销售等各个环节进行质量全程追溯。健全完善标准体系、制度体系、产业体系、质量管控体系、推广体系“五大体系”。</w:t>
            </w:r>
          </w:p>
        </w:tc>
      </w:tr>
    </w:tbl>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 w:hAnsi="仿宋" w:eastAsia="仿宋" w:cs="仿宋"/>
          <w:b w:val="0"/>
          <w:bCs/>
          <w:color w:val="auto"/>
          <w:kern w:val="2"/>
          <w:sz w:val="32"/>
          <w:szCs w:val="32"/>
          <w:highlight w:val="none"/>
          <w:shd w:val="clear" w:color="auto" w:fill="auto"/>
          <w:lang w:val="en-US" w:eastAsia="zh-CN" w:bidi="ar-SA"/>
        </w:rPr>
      </w:pPr>
      <w:r>
        <w:rPr>
          <w:rFonts w:hint="eastAsia" w:ascii="仿宋" w:hAnsi="仿宋" w:eastAsia="仿宋" w:cs="仿宋"/>
          <w:color w:val="auto"/>
          <w:sz w:val="13"/>
          <w:szCs w:val="13"/>
          <w:highlight w:val="none"/>
          <w:shd w:val="clear" w:color="auto" w:fill="auto"/>
          <w:lang w:val="en-US" w:eastAsia="zh-CN"/>
        </w:rPr>
        <w:t xml:space="preserve">   </w:t>
      </w:r>
      <w:r>
        <w:rPr>
          <w:rFonts w:hint="eastAsia" w:ascii="仿宋" w:hAnsi="仿宋" w:eastAsia="仿宋" w:cs="仿宋"/>
          <w:b/>
          <w:color w:val="auto"/>
          <w:kern w:val="0"/>
          <w:sz w:val="32"/>
          <w:szCs w:val="32"/>
          <w:highlight w:val="none"/>
          <w:shd w:val="clear" w:color="auto" w:fill="auto"/>
          <w:lang w:val="en-US" w:eastAsia="zh-CN" w:bidi="ar-SA"/>
        </w:rPr>
        <w:t xml:space="preserve">   </w:t>
      </w:r>
      <w:r>
        <w:rPr>
          <w:rFonts w:hint="eastAsia" w:ascii="仿宋" w:hAnsi="仿宋" w:eastAsia="仿宋" w:cs="仿宋"/>
          <w:b w:val="0"/>
          <w:bCs/>
          <w:color w:val="auto"/>
          <w:kern w:val="0"/>
          <w:sz w:val="32"/>
          <w:szCs w:val="32"/>
          <w:highlight w:val="none"/>
          <w:shd w:val="clear" w:color="auto" w:fill="auto"/>
          <w:lang w:val="en-US" w:eastAsia="zh-CN" w:bidi="ar-SA"/>
        </w:rPr>
        <w:t>完善计量测试服务体系。</w:t>
      </w:r>
      <w:r>
        <w:rPr>
          <w:rFonts w:hint="eastAsia" w:ascii="仿宋" w:hAnsi="仿宋" w:eastAsia="仿宋" w:cs="仿宋"/>
          <w:b w:val="0"/>
          <w:bCs/>
          <w:color w:val="auto"/>
          <w:kern w:val="2"/>
          <w:sz w:val="32"/>
          <w:szCs w:val="32"/>
          <w:highlight w:val="none"/>
          <w:shd w:val="clear" w:color="auto" w:fill="auto"/>
          <w:lang w:val="en-US" w:eastAsia="zh-CN" w:bidi="ar-SA"/>
        </w:rPr>
        <w:t>夯实计量基础，进一步完善量传溯源体系，加快推进计量一体化发展。健全完善自治区计量监督管理法规规章体系。调动发挥地方、部门和行业组织作用，保障计量监督管理体系高效运行，加强强制检定计量器具监督管理，完善并推广e-CQS系统（强制计量器具管理系统），提高计量监管针对性和有效性。持续推进自治区重点用能单位能耗在线监测系统延伸连接和数据采集，支撑企业积极融入碳交易市场，为自治区节能降碳相关政策制定提供数据服务和技术支持。加强计量测试技术研究，建立服务特色产业、新兴产业、高技术产业计量测试服务平台，继续推进国家乳制品产业计量测试中心建设，申报建设国家和自治区能源计量相关重点实验室，促进技术创新，提高市场竞争力。深入开展与民生相关的计量器具监督检查，严厉打击计量违法行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vertAlign w:val="baseline"/>
                <w:lang w:val="en-US" w:eastAsia="zh-CN"/>
              </w:rPr>
            </w:pPr>
            <w:r>
              <w:rPr>
                <w:rFonts w:hint="eastAsia" w:ascii="黑体" w:hAnsi="黑体" w:eastAsia="黑体" w:cs="黑体"/>
                <w:b w:val="0"/>
                <w:bCs w:val="0"/>
                <w:sz w:val="32"/>
                <w:szCs w:val="32"/>
              </w:rPr>
              <w:t>专栏</w:t>
            </w:r>
            <w:r>
              <w:rPr>
                <w:rFonts w:hint="eastAsia" w:ascii="黑体" w:hAnsi="黑体" w:eastAsia="黑体" w:cs="黑体"/>
                <w:b w:val="0"/>
                <w:bCs w:val="0"/>
                <w:sz w:val="32"/>
                <w:szCs w:val="32"/>
                <w:lang w:val="en-US" w:eastAsia="zh-CN"/>
              </w:rPr>
              <w:t xml:space="preserve">5  </w:t>
            </w:r>
            <w:r>
              <w:rPr>
                <w:rFonts w:hint="eastAsia" w:ascii="黑体" w:hAnsi="黑体" w:eastAsia="黑体" w:cs="黑体"/>
                <w:b w:val="0"/>
                <w:bCs w:val="0"/>
                <w:sz w:val="32"/>
                <w:szCs w:val="32"/>
              </w:rPr>
              <w:t>全面提升计量</w:t>
            </w:r>
            <w:r>
              <w:rPr>
                <w:rFonts w:hint="eastAsia" w:ascii="黑体" w:hAnsi="黑体" w:eastAsia="黑体" w:cs="黑体"/>
                <w:b w:val="0"/>
                <w:bCs w:val="0"/>
                <w:sz w:val="32"/>
                <w:szCs w:val="32"/>
                <w:lang w:eastAsia="zh-CN"/>
              </w:rPr>
              <w:t>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702" w:hRule="atLeast"/>
        </w:trPr>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b w:val="0"/>
                <w:bCs w:val="0"/>
                <w:sz w:val="28"/>
                <w:szCs w:val="28"/>
              </w:rPr>
            </w:pPr>
            <w:r>
              <w:rPr>
                <w:rFonts w:hint="eastAsia" w:ascii="楷体" w:hAnsi="楷体" w:eastAsia="楷体" w:cs="楷体"/>
                <w:b w:val="0"/>
                <w:bCs w:val="0"/>
                <w:sz w:val="28"/>
                <w:szCs w:val="28"/>
              </w:rPr>
              <w:t>1.自治区重点用能单位能耗在线监测系统。</w:t>
            </w:r>
            <w:r>
              <w:rPr>
                <w:rFonts w:hint="eastAsia" w:ascii="仿宋" w:hAnsi="仿宋" w:eastAsia="仿宋" w:cs="仿宋"/>
                <w:b w:val="0"/>
                <w:bCs w:val="0"/>
                <w:sz w:val="28"/>
                <w:szCs w:val="28"/>
              </w:rPr>
              <w:t>加快推进内蒙古自治区重点用能单位能耗在线监测系统建设，开展重点用能单位数据采集、部门行业系统数据对接和能耗在线监测系统运行维护，推进重点用能单位数据准确接入国家平台。拓展能源咨询评估服务能力，开展能源计量评估和节能规划等节能监测服务；提升设备能效标识检测能力，开展能效计量检测、能平衡测试等检测业务；加强碳计量数据分析应用能力，推动能源计量数据服务碳计量和碳交易活动；加强对能源计量数据的分析、评价与应用，提升能源计量器具和数据管理能力；研究能源计量检测技术，增强能源计量技术与标准研发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b w:val="0"/>
                <w:bCs w:val="0"/>
                <w:sz w:val="28"/>
                <w:szCs w:val="28"/>
              </w:rPr>
            </w:pPr>
            <w:r>
              <w:rPr>
                <w:rFonts w:hint="eastAsia" w:ascii="楷体" w:hAnsi="楷体" w:eastAsia="楷体" w:cs="楷体"/>
                <w:b w:val="0"/>
                <w:bCs w:val="0"/>
                <w:sz w:val="28"/>
                <w:szCs w:val="28"/>
              </w:rPr>
              <w:t>2.推进国家乳制品产业计量测试中心建设。</w:t>
            </w:r>
            <w:r>
              <w:rPr>
                <w:rFonts w:hint="eastAsia" w:ascii="仿宋" w:hAnsi="仿宋" w:eastAsia="仿宋" w:cs="仿宋"/>
                <w:b w:val="0"/>
                <w:bCs w:val="0"/>
                <w:sz w:val="28"/>
                <w:szCs w:val="28"/>
              </w:rPr>
              <w:t>建立完善自治区产业计量管理体系，根据自治区产业发展实际，在我区优势产业领域布局建设一批</w:t>
            </w:r>
            <w:r>
              <w:rPr>
                <w:rFonts w:hint="eastAsia" w:ascii="仿宋" w:hAnsi="仿宋" w:eastAsia="仿宋" w:cs="仿宋"/>
                <w:b w:val="0"/>
                <w:bCs w:val="0"/>
                <w:sz w:val="28"/>
                <w:szCs w:val="28"/>
                <w:lang w:eastAsia="zh-CN"/>
              </w:rPr>
              <w:t>自治区</w:t>
            </w:r>
            <w:r>
              <w:rPr>
                <w:rFonts w:hint="eastAsia" w:ascii="仿宋" w:hAnsi="仿宋" w:eastAsia="仿宋" w:cs="仿宋"/>
                <w:b w:val="0"/>
                <w:bCs w:val="0"/>
                <w:sz w:val="28"/>
                <w:szCs w:val="28"/>
              </w:rPr>
              <w:t>级产业计量测试中心，为我区产业创新发展提供优质计量技术保障。申请筹建国家乳制品产业计量测试中心，立足内蒙古服务全国乳制品产业，为乳制品产业提供全溯源链、全产业链、全寿命周期、前瞻性计量测试服务和技术研究，推动乳制品产业高质量发展。</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vertAlign w:val="baseline"/>
                <w:lang w:val="en-US" w:eastAsia="zh-CN"/>
              </w:rPr>
            </w:pPr>
            <w:r>
              <w:rPr>
                <w:rFonts w:hint="eastAsia" w:ascii="楷体" w:hAnsi="楷体" w:eastAsia="楷体" w:cs="楷体"/>
                <w:b w:val="0"/>
                <w:bCs w:val="0"/>
                <w:kern w:val="2"/>
                <w:sz w:val="28"/>
                <w:szCs w:val="28"/>
                <w:lang w:val="en-US" w:eastAsia="zh-CN" w:bidi="ar-SA"/>
              </w:rPr>
              <w:t>3.申报建设国家市场监管重点实验室和自治区重点实验室。</w:t>
            </w:r>
            <w:r>
              <w:rPr>
                <w:rFonts w:hint="eastAsia" w:ascii="仿宋" w:hAnsi="仿宋" w:eastAsia="仿宋" w:cs="仿宋"/>
                <w:b w:val="0"/>
                <w:bCs w:val="0"/>
                <w:sz w:val="28"/>
                <w:szCs w:val="28"/>
              </w:rPr>
              <w:t>研究能源计量器具智能化，创新校准模式，实现计量校准智能化，打造新一代信息计量技术企业；研究能源计量与大数据技术融合，重塑计量管理架构、业务架构，构建大数据驱动下的计量服务新机制、新平台、新渠道；建立内蒙古自治区能源与碳计量数据库，不断完善能源数据库和碳数据库的数据分析应用能力，形成“用数据决策、用数据服</w:t>
            </w:r>
            <w:r>
              <w:rPr>
                <w:rFonts w:hint="eastAsia" w:ascii="仿宋" w:hAnsi="仿宋" w:eastAsia="仿宋" w:cs="仿宋"/>
                <w:sz w:val="28"/>
                <w:szCs w:val="28"/>
              </w:rPr>
              <w:t>务、用数据创新”的现代化计量模式。</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color w:val="auto"/>
          <w:sz w:val="32"/>
          <w:szCs w:val="32"/>
          <w:shd w:val="clear" w:color="auto" w:fill="auto"/>
        </w:rPr>
      </w:pPr>
      <w:r>
        <w:rPr>
          <w:rFonts w:hint="eastAsia" w:ascii="仿宋" w:hAnsi="仿宋" w:eastAsia="仿宋" w:cs="仿宋"/>
          <w:b w:val="0"/>
          <w:bCs/>
          <w:color w:val="auto"/>
          <w:kern w:val="0"/>
          <w:sz w:val="32"/>
          <w:szCs w:val="32"/>
          <w:highlight w:val="none"/>
          <w:shd w:val="clear" w:color="auto" w:fill="auto"/>
          <w:lang w:val="en-US" w:eastAsia="zh-CN" w:bidi="ar-SA"/>
        </w:rPr>
        <w:t>推动建成高质量发展标准体系。</w:t>
      </w:r>
      <w:r>
        <w:rPr>
          <w:rFonts w:hint="eastAsia" w:ascii="仿宋" w:hAnsi="仿宋" w:eastAsia="仿宋" w:cs="仿宋"/>
          <w:b w:val="0"/>
          <w:bCs/>
          <w:color w:val="auto"/>
          <w:sz w:val="32"/>
          <w:szCs w:val="32"/>
          <w:shd w:val="clear" w:color="auto" w:fill="auto"/>
        </w:rPr>
        <w:t>深入实施</w:t>
      </w:r>
      <w:r>
        <w:rPr>
          <w:rFonts w:hint="eastAsia" w:ascii="仿宋" w:hAnsi="仿宋" w:eastAsia="仿宋" w:cs="仿宋"/>
          <w:b w:val="0"/>
          <w:bCs/>
          <w:color w:val="auto"/>
          <w:sz w:val="32"/>
          <w:szCs w:val="32"/>
          <w:shd w:val="clear" w:color="auto" w:fill="auto"/>
          <w:lang w:eastAsia="zh-CN"/>
        </w:rPr>
        <w:t>《国家</w:t>
      </w:r>
      <w:r>
        <w:rPr>
          <w:rFonts w:hint="eastAsia" w:ascii="仿宋" w:hAnsi="仿宋" w:eastAsia="仿宋" w:cs="仿宋"/>
          <w:b w:val="0"/>
          <w:bCs/>
          <w:color w:val="auto"/>
          <w:sz w:val="32"/>
          <w:szCs w:val="32"/>
          <w:shd w:val="clear" w:color="auto" w:fill="auto"/>
        </w:rPr>
        <w:t>标准化发展纲要</w:t>
      </w:r>
      <w:r>
        <w:rPr>
          <w:rFonts w:hint="eastAsia" w:ascii="仿宋" w:hAnsi="仿宋" w:eastAsia="仿宋" w:cs="仿宋"/>
          <w:b w:val="0"/>
          <w:bCs/>
          <w:color w:val="auto"/>
          <w:sz w:val="32"/>
          <w:szCs w:val="32"/>
          <w:shd w:val="clear" w:color="auto" w:fill="auto"/>
          <w:lang w:eastAsia="zh-CN"/>
        </w:rPr>
        <w:t>》</w:t>
      </w:r>
      <w:r>
        <w:rPr>
          <w:rFonts w:hint="eastAsia" w:ascii="仿宋" w:hAnsi="仿宋" w:eastAsia="仿宋" w:cs="仿宋"/>
          <w:b w:val="0"/>
          <w:bCs/>
          <w:color w:val="auto"/>
          <w:sz w:val="32"/>
          <w:szCs w:val="32"/>
          <w:shd w:val="clear" w:color="auto" w:fill="auto"/>
        </w:rPr>
        <w:t>，推动自治区</w:t>
      </w:r>
      <w:r>
        <w:rPr>
          <w:rFonts w:hint="eastAsia" w:ascii="仿宋" w:hAnsi="仿宋" w:eastAsia="仿宋" w:cs="仿宋"/>
          <w:b w:val="0"/>
          <w:bCs/>
          <w:color w:val="auto"/>
          <w:sz w:val="32"/>
          <w:szCs w:val="32"/>
          <w:shd w:val="clear" w:color="auto" w:fill="auto"/>
          <w:lang w:eastAsia="zh-CN"/>
        </w:rPr>
        <w:t>实现标准供给由政府主导向政府与市场并重转变，标准运用由产业与贸易为主向经济社会全域转变，标准化工作由国内驱动向国内国际相互促进转变，</w:t>
      </w:r>
      <w:r>
        <w:rPr>
          <w:rFonts w:hint="eastAsia" w:ascii="仿宋" w:hAnsi="仿宋" w:eastAsia="仿宋" w:cs="仿宋"/>
          <w:b w:val="0"/>
          <w:bCs/>
          <w:color w:val="auto"/>
          <w:sz w:val="32"/>
          <w:szCs w:val="32"/>
          <w:shd w:val="clear" w:color="auto" w:fill="auto"/>
        </w:rPr>
        <w:t>标准化发展由数量规模型向质量效益型转变。围绕</w:t>
      </w:r>
      <w:r>
        <w:rPr>
          <w:rFonts w:hint="eastAsia" w:ascii="仿宋" w:hAnsi="仿宋" w:eastAsia="仿宋" w:cs="仿宋"/>
          <w:b w:val="0"/>
          <w:bCs/>
          <w:color w:val="auto"/>
          <w:sz w:val="32"/>
          <w:szCs w:val="32"/>
          <w:shd w:val="clear" w:color="auto" w:fill="auto"/>
          <w:lang w:eastAsia="zh-CN"/>
        </w:rPr>
        <w:t>推动经济社会高质量发展，</w:t>
      </w:r>
      <w:r>
        <w:rPr>
          <w:rFonts w:hint="eastAsia" w:ascii="仿宋" w:hAnsi="仿宋" w:eastAsia="仿宋" w:cs="仿宋"/>
          <w:b w:val="0"/>
          <w:bCs/>
          <w:color w:val="auto"/>
          <w:sz w:val="32"/>
          <w:szCs w:val="32"/>
          <w:shd w:val="clear" w:color="auto" w:fill="auto"/>
        </w:rPr>
        <w:t>加强标准建设，加大</w:t>
      </w:r>
      <w:r>
        <w:rPr>
          <w:rFonts w:hint="eastAsia" w:ascii="仿宋" w:hAnsi="仿宋" w:eastAsia="仿宋" w:cs="仿宋"/>
          <w:b w:val="0"/>
          <w:bCs/>
          <w:color w:val="auto"/>
          <w:sz w:val="32"/>
          <w:szCs w:val="32"/>
          <w:shd w:val="clear" w:color="auto" w:fill="auto"/>
          <w:lang w:eastAsia="zh-CN"/>
        </w:rPr>
        <w:t>绿色</w:t>
      </w:r>
      <w:r>
        <w:rPr>
          <w:rFonts w:hint="eastAsia" w:ascii="仿宋" w:hAnsi="仿宋" w:eastAsia="仿宋" w:cs="仿宋"/>
          <w:b w:val="0"/>
          <w:bCs/>
          <w:color w:val="auto"/>
          <w:sz w:val="32"/>
          <w:szCs w:val="32"/>
          <w:shd w:val="clear" w:color="auto" w:fill="auto"/>
        </w:rPr>
        <w:t>优势特色产业</w:t>
      </w:r>
      <w:r>
        <w:rPr>
          <w:rFonts w:hint="eastAsia" w:ascii="仿宋" w:hAnsi="仿宋" w:eastAsia="仿宋" w:cs="仿宋"/>
          <w:b w:val="0"/>
          <w:bCs/>
          <w:color w:val="auto"/>
          <w:sz w:val="32"/>
          <w:szCs w:val="32"/>
          <w:shd w:val="clear" w:color="auto" w:fill="auto"/>
          <w:lang w:eastAsia="zh-CN"/>
        </w:rPr>
        <w:t>标准化</w:t>
      </w:r>
      <w:r>
        <w:rPr>
          <w:rFonts w:hint="eastAsia" w:ascii="仿宋" w:hAnsi="仿宋" w:eastAsia="仿宋" w:cs="仿宋"/>
          <w:b w:val="0"/>
          <w:bCs/>
          <w:color w:val="auto"/>
          <w:sz w:val="32"/>
          <w:szCs w:val="32"/>
          <w:shd w:val="clear" w:color="auto" w:fill="auto"/>
        </w:rPr>
        <w:t>服务力度，每年建设约20个</w:t>
      </w:r>
      <w:r>
        <w:rPr>
          <w:rFonts w:hint="eastAsia" w:ascii="仿宋" w:hAnsi="仿宋" w:eastAsia="仿宋" w:cs="仿宋"/>
          <w:b w:val="0"/>
          <w:bCs/>
          <w:color w:val="auto"/>
          <w:sz w:val="32"/>
          <w:szCs w:val="32"/>
          <w:shd w:val="clear" w:color="auto" w:fill="auto"/>
          <w:lang w:eastAsia="zh-CN"/>
        </w:rPr>
        <w:t>高质量发展</w:t>
      </w:r>
      <w:r>
        <w:rPr>
          <w:rFonts w:hint="eastAsia" w:ascii="仿宋" w:hAnsi="仿宋" w:eastAsia="仿宋" w:cs="仿宋"/>
          <w:b w:val="0"/>
          <w:bCs/>
          <w:color w:val="auto"/>
          <w:sz w:val="32"/>
          <w:szCs w:val="32"/>
          <w:shd w:val="clear" w:color="auto" w:fill="auto"/>
        </w:rPr>
        <w:t>标准体系，</w:t>
      </w:r>
      <w:r>
        <w:rPr>
          <w:rFonts w:hint="eastAsia" w:ascii="仿宋" w:hAnsi="仿宋" w:eastAsia="仿宋" w:cs="仿宋"/>
          <w:b w:val="0"/>
          <w:bCs/>
          <w:color w:val="auto"/>
          <w:sz w:val="32"/>
          <w:szCs w:val="32"/>
          <w:shd w:val="clear" w:color="auto" w:fill="auto"/>
          <w:lang w:eastAsia="zh-CN"/>
        </w:rPr>
        <w:t>研究制定</w:t>
      </w:r>
      <w:r>
        <w:rPr>
          <w:rFonts w:hint="eastAsia" w:ascii="仿宋" w:hAnsi="仿宋" w:eastAsia="仿宋" w:cs="仿宋"/>
          <w:b w:val="0"/>
          <w:bCs/>
          <w:color w:val="auto"/>
          <w:sz w:val="32"/>
          <w:szCs w:val="32"/>
          <w:shd w:val="clear" w:color="auto" w:fill="auto"/>
        </w:rPr>
        <w:t>相关指标特性、环境要求、管理、检测、服务等标准，到2025年</w:t>
      </w:r>
      <w:r>
        <w:rPr>
          <w:rFonts w:hint="eastAsia" w:ascii="仿宋" w:hAnsi="仿宋" w:eastAsia="仿宋" w:cs="仿宋"/>
          <w:b w:val="0"/>
          <w:bCs/>
          <w:color w:val="auto"/>
          <w:sz w:val="32"/>
          <w:szCs w:val="32"/>
          <w:shd w:val="clear" w:color="auto" w:fill="auto"/>
          <w:lang w:eastAsia="zh-CN"/>
        </w:rPr>
        <w:t>基本</w:t>
      </w:r>
      <w:r>
        <w:rPr>
          <w:rFonts w:hint="eastAsia" w:ascii="仿宋" w:hAnsi="仿宋" w:eastAsia="仿宋" w:cs="仿宋"/>
          <w:b w:val="0"/>
          <w:bCs/>
          <w:color w:val="auto"/>
          <w:sz w:val="32"/>
          <w:szCs w:val="32"/>
          <w:shd w:val="clear" w:color="auto" w:fill="auto"/>
        </w:rPr>
        <w:t>建成自治区重要产业高质量发展标准体系。加强新业态新模式领域关键技术标准研究，大力推动先进适用科技创新成果转化为标准。按照国家相关规定，积极组织开展乡村振兴、社会治理、养老、家政服务、碳达峰、碳中和等标准化专项行动</w:t>
      </w:r>
      <w:r>
        <w:rPr>
          <w:rFonts w:hint="eastAsia" w:ascii="仿宋" w:hAnsi="仿宋" w:eastAsia="仿宋" w:cs="仿宋"/>
          <w:b w:val="0"/>
          <w:bCs/>
          <w:color w:val="auto"/>
          <w:sz w:val="32"/>
          <w:szCs w:val="32"/>
          <w:shd w:val="clear" w:color="auto" w:fill="auto"/>
          <w:lang w:eastAsia="zh-CN"/>
        </w:rPr>
        <w:t>和</w:t>
      </w:r>
      <w:r>
        <w:rPr>
          <w:rFonts w:hint="eastAsia" w:ascii="仿宋" w:hAnsi="仿宋" w:eastAsia="仿宋" w:cs="仿宋"/>
          <w:b w:val="0"/>
          <w:bCs/>
          <w:color w:val="auto"/>
          <w:sz w:val="32"/>
          <w:szCs w:val="32"/>
          <w:shd w:val="clear" w:color="auto" w:fill="auto"/>
        </w:rPr>
        <w:t>工程。持续推动标准化改革创新，做优标准化试点示范项目典型，发挥标准引领作用。继续抓好乳业、稀土两个国家技术标准创新基地建设。推行企业标准领跑者制度，推进对标达标提升专项行动。继续推动企业标准、团体标准自我声明公开。大力发展团体标准，引导社会团体制定高质量的原创标准。完善标准实施监督机制，开展标准质量、</w:t>
      </w:r>
      <w:r>
        <w:rPr>
          <w:rFonts w:hint="eastAsia" w:ascii="仿宋" w:hAnsi="仿宋" w:eastAsia="仿宋" w:cs="仿宋"/>
          <w:b w:val="0"/>
          <w:bCs/>
          <w:color w:val="auto"/>
          <w:sz w:val="32"/>
          <w:szCs w:val="32"/>
          <w:shd w:val="clear" w:color="auto" w:fill="auto"/>
          <w:lang w:eastAsia="zh-CN"/>
        </w:rPr>
        <w:t>标准</w:t>
      </w:r>
      <w:r>
        <w:rPr>
          <w:rFonts w:hint="eastAsia" w:ascii="仿宋" w:hAnsi="仿宋" w:eastAsia="仿宋" w:cs="仿宋"/>
          <w:b w:val="0"/>
          <w:bCs/>
          <w:color w:val="auto"/>
          <w:sz w:val="32"/>
          <w:szCs w:val="32"/>
          <w:shd w:val="clear" w:color="auto" w:fill="auto"/>
        </w:rPr>
        <w:t>实施评估工作。落实行业主管部门标准实施监督职责，推动在认证认可、检验检测、政府采购、招投标等活动中应用先进标准，提高标准应用效果。深化国际标准化工作，积极推进与俄罗斯、蒙古国在标准领域的对接合作，开展标准比对、互认，拓展标准研究和转化应用领域。支持企业、社会团体、科研机构等积极参与各类国际性标准组织。</w:t>
      </w:r>
    </w:p>
    <w:p>
      <w:pPr>
        <w:pStyle w:val="3"/>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1"/>
        <w:jc w:val="both"/>
        <w:textAlignment w:val="auto"/>
        <w:outlineLvl w:val="9"/>
        <w:rPr>
          <w:rFonts w:hint="eastAsia" w:ascii="仿宋" w:hAnsi="仿宋" w:eastAsia="仿宋" w:cs="仿宋"/>
          <w:b w:val="0"/>
          <w:bCs/>
          <w:color w:val="auto"/>
          <w:kern w:val="2"/>
          <w:sz w:val="32"/>
          <w:szCs w:val="32"/>
          <w:shd w:val="clear" w:color="auto" w:fill="auto"/>
          <w:lang w:val="en-US" w:eastAsia="zh-CN" w:bidi="ar-SA"/>
        </w:rPr>
      </w:pPr>
      <w:r>
        <w:rPr>
          <w:rFonts w:hint="eastAsia" w:ascii="仿宋" w:hAnsi="仿宋" w:eastAsia="仿宋" w:cs="仿宋"/>
          <w:b w:val="0"/>
          <w:bCs/>
          <w:color w:val="auto"/>
          <w:kern w:val="0"/>
          <w:highlight w:val="none"/>
          <w:shd w:val="clear" w:color="auto" w:fill="auto"/>
        </w:rPr>
        <w:t>提高认证检测服务能力。</w:t>
      </w:r>
      <w:r>
        <w:rPr>
          <w:rFonts w:hint="eastAsia" w:ascii="仿宋" w:hAnsi="仿宋" w:eastAsia="仿宋" w:cs="仿宋"/>
          <w:b w:val="0"/>
          <w:bCs/>
          <w:color w:val="auto"/>
          <w:kern w:val="2"/>
          <w:sz w:val="32"/>
          <w:szCs w:val="32"/>
          <w:shd w:val="clear" w:color="auto" w:fill="auto"/>
          <w:lang w:val="en-US" w:eastAsia="zh-CN" w:bidi="ar-SA"/>
        </w:rPr>
        <w:t>加快质量认证法治化、制度化建设，进一步完善统一管理、分级负责、分类监管的认证执法监管模式，提高行政监管科学性、有效性。引导企业开展自愿性认证，积极推行高端品质认证，支持运用认证手段推进区域品牌建设，进一步优化“蒙”字标标准体系、制度体系、产业体系、质量链体系、推广体系等“五大体系”建设。加强强制性产品认证监管，落实重点领域、重点环节监管任务，严厉查处列入强制性产品认证目录产品无证生产销售行为。</w:t>
      </w:r>
    </w:p>
    <w:p>
      <w:pPr>
        <w:pStyle w:val="3"/>
        <w:keepNext w:val="0"/>
        <w:keepLines w:val="0"/>
        <w:pageBreakBefore w:val="0"/>
        <w:widowControl w:val="0"/>
        <w:kinsoku/>
        <w:wordWrap/>
        <w:overflowPunct/>
        <w:topLinePunct/>
        <w:autoSpaceDE/>
        <w:autoSpaceDN/>
        <w:bidi w:val="0"/>
        <w:adjustRightInd/>
        <w:snapToGrid/>
        <w:spacing w:after="313" w:afterLines="100" w:line="580" w:lineRule="exact"/>
        <w:ind w:left="0" w:leftChars="0" w:right="0" w:rightChars="0" w:firstLine="641"/>
        <w:jc w:val="both"/>
        <w:textAlignment w:val="auto"/>
        <w:outlineLvl w:val="9"/>
        <w:rPr>
          <w:rFonts w:hint="eastAsia" w:ascii="仿宋" w:hAnsi="仿宋" w:eastAsia="仿宋" w:cs="仿宋"/>
          <w:b w:val="0"/>
          <w:bCs/>
          <w:color w:val="auto"/>
          <w:kern w:val="2"/>
          <w:sz w:val="32"/>
          <w:szCs w:val="32"/>
          <w:shd w:val="clear" w:color="auto" w:fill="auto"/>
          <w:lang w:val="en-US" w:eastAsia="zh-CN" w:bidi="ar-SA"/>
        </w:rPr>
      </w:pPr>
      <w:r>
        <w:rPr>
          <w:rFonts w:hint="eastAsia" w:ascii="仿宋" w:hAnsi="仿宋" w:eastAsia="仿宋" w:cs="仿宋"/>
          <w:b w:val="0"/>
          <w:bCs/>
          <w:color w:val="auto"/>
          <w:kern w:val="0"/>
          <w:highlight w:val="none"/>
          <w:shd w:val="clear" w:color="auto" w:fill="auto"/>
        </w:rPr>
        <w:t>推动检验检测机构改革。</w:t>
      </w:r>
      <w:r>
        <w:rPr>
          <w:rFonts w:hint="eastAsia" w:ascii="仿宋" w:hAnsi="仿宋" w:eastAsia="仿宋" w:cs="仿宋"/>
          <w:b w:val="0"/>
          <w:bCs/>
          <w:color w:val="auto"/>
          <w:kern w:val="2"/>
          <w:sz w:val="32"/>
          <w:szCs w:val="32"/>
          <w:shd w:val="clear" w:color="auto" w:fill="auto"/>
          <w:lang w:val="en-US" w:eastAsia="zh-CN" w:bidi="ar-SA"/>
        </w:rPr>
        <w:t>按照国家统一部署，推行检验检测机构资质认定告知承诺制，规范开展检验检测机构资质认定，发挥市场在检验检测改革中的决定性作用。依托内蒙古质量基础设施一站式服务平台，实现对检验检测机构实时智能监管。加大检验检测监管力度，建立与企业信用信息公示平台、异常经营目录、严重违法失信名单等信用监管措施相衔接的机制，强化失信惩戒措施，增加违法成本，推动落实检验检测机构主体责任和连带责任。开展检验检测机构能力验证、检验检测技能大比武等行动，提升检验检测机构从业人员、资质认定评审员和基层监管人员业务能力。着力推进检验检测市场化、国际化、专业化、集约化和规范化发展，进一步提升核心竞争力，推动高质量发展。</w:t>
      </w:r>
    </w:p>
    <w:p>
      <w:pPr>
        <w:pStyle w:val="2"/>
        <w:rPr>
          <w:rFonts w:hint="eastAsia" w:ascii="仿宋" w:hAnsi="仿宋" w:eastAsia="仿宋" w:cs="仿宋"/>
          <w:b w:val="0"/>
          <w:bCs/>
          <w:color w:val="auto"/>
          <w:kern w:val="2"/>
          <w:sz w:val="32"/>
          <w:szCs w:val="32"/>
          <w:shd w:val="clear" w:color="auto" w:fill="auto"/>
          <w:lang w:val="en-US" w:eastAsia="zh-CN" w:bidi="ar-SA"/>
        </w:rPr>
      </w:pPr>
    </w:p>
    <w:p>
      <w:pPr>
        <w:pStyle w:val="3"/>
        <w:rPr>
          <w:rFonts w:hint="eastAsia" w:ascii="仿宋" w:hAnsi="仿宋" w:eastAsia="仿宋" w:cs="仿宋"/>
          <w:b w:val="0"/>
          <w:bCs/>
          <w:color w:val="auto"/>
          <w:kern w:val="2"/>
          <w:sz w:val="32"/>
          <w:szCs w:val="32"/>
          <w:shd w:val="clear" w:color="auto" w:fill="auto"/>
          <w:lang w:val="en-US" w:eastAsia="zh-CN" w:bidi="ar-SA"/>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ascii="黑体" w:hAnsi="黑体" w:eastAsia="黑体" w:cs="黑体"/>
                <w:b w:val="0"/>
                <w:bCs w:val="0"/>
                <w:color w:val="000000"/>
                <w:sz w:val="32"/>
                <w:szCs w:val="32"/>
              </w:rPr>
              <w:t>专栏</w:t>
            </w:r>
            <w:r>
              <w:rPr>
                <w:rFonts w:hint="eastAsia" w:ascii="黑体" w:hAnsi="黑体" w:eastAsia="黑体" w:cs="黑体"/>
                <w:b w:val="0"/>
                <w:bCs w:val="0"/>
                <w:color w:val="000000"/>
                <w:sz w:val="32"/>
                <w:szCs w:val="32"/>
                <w:lang w:val="en-US" w:eastAsia="zh-CN"/>
              </w:rPr>
              <w:t xml:space="preserve">6  </w:t>
            </w:r>
            <w:r>
              <w:rPr>
                <w:rFonts w:hint="eastAsia" w:ascii="黑体" w:hAnsi="黑体" w:eastAsia="黑体" w:cs="黑体"/>
                <w:b w:val="0"/>
                <w:bCs w:val="0"/>
                <w:color w:val="000000"/>
                <w:sz w:val="32"/>
                <w:szCs w:val="32"/>
              </w:rPr>
              <w:t>全面提升检验检测能力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color w:val="000000"/>
                <w:sz w:val="28"/>
                <w:szCs w:val="28"/>
              </w:rPr>
              <w:t>1.加强自治区食品安全检验检测机构建设项目。</w:t>
            </w:r>
            <w:r>
              <w:rPr>
                <w:rFonts w:hint="eastAsia" w:ascii="仿宋" w:hAnsi="仿宋" w:eastAsia="仿宋" w:cs="仿宋"/>
                <w:b w:val="0"/>
                <w:bCs w:val="0"/>
                <w:sz w:val="28"/>
                <w:szCs w:val="28"/>
              </w:rPr>
              <w:t>构建以自治区级食品检验检测机构为龙头，盟市级食品检验检测机构为骨干、旗县级食品检验检测机构为基础，第三方食品检验检测机构为补充的格局，建成布局合理、协调统一、运转高效的食品安全检验检测体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vertAlign w:val="baseline"/>
                <w:lang w:val="en-US" w:eastAsia="zh-CN"/>
              </w:rPr>
            </w:pPr>
            <w:r>
              <w:rPr>
                <w:rFonts w:hint="eastAsia" w:ascii="楷体" w:hAnsi="楷体" w:eastAsia="楷体" w:cs="楷体"/>
                <w:b w:val="0"/>
                <w:bCs w:val="0"/>
                <w:color w:val="000000"/>
                <w:sz w:val="28"/>
                <w:szCs w:val="28"/>
                <w:lang w:val="en-US" w:eastAsia="zh-CN"/>
              </w:rPr>
              <w:t>2</w:t>
            </w:r>
            <w:r>
              <w:rPr>
                <w:rFonts w:hint="eastAsia" w:ascii="楷体" w:hAnsi="楷体" w:eastAsia="楷体" w:cs="楷体"/>
                <w:b w:val="0"/>
                <w:bCs w:val="0"/>
                <w:color w:val="000000"/>
                <w:sz w:val="28"/>
                <w:szCs w:val="28"/>
              </w:rPr>
              <w:t>.工业产品检验检测能力提升项目。</w:t>
            </w:r>
            <w:r>
              <w:rPr>
                <w:rFonts w:hint="eastAsia" w:ascii="仿宋" w:hAnsi="仿宋" w:eastAsia="仿宋" w:cs="仿宋"/>
                <w:b w:val="0"/>
                <w:bCs w:val="0"/>
                <w:sz w:val="28"/>
                <w:szCs w:val="28"/>
              </w:rPr>
              <w:t>面向煤炭、化工等自治区特色产业，农资产品、毛皮制品、建材机电等传统产业，光伏、风电、电子等新兴产业，儿童玩具、学生用品、塑料制品、电动自行车等民生产业，扩大检验覆盖面，进一步提升检验检测能力。</w:t>
            </w:r>
          </w:p>
        </w:tc>
      </w:tr>
    </w:tbl>
    <w:p>
      <w:pPr>
        <w:pStyle w:val="5"/>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jc w:val="center"/>
        <w:textAlignment w:val="auto"/>
        <w:outlineLvl w:val="1"/>
        <w:rPr>
          <w:rFonts w:hint="eastAsia" w:ascii="仿宋" w:hAnsi="仿宋" w:eastAsia="仿宋" w:cs="仿宋"/>
          <w:b/>
          <w:bCs w:val="0"/>
          <w:color w:val="auto"/>
          <w:sz w:val="32"/>
          <w:szCs w:val="36"/>
          <w:highlight w:val="none"/>
          <w:shd w:val="clear" w:color="auto" w:fill="auto"/>
        </w:rPr>
      </w:pPr>
      <w:bookmarkStart w:id="33" w:name="_Toc19833"/>
      <w:bookmarkStart w:id="34" w:name="_Toc69226851"/>
      <w:bookmarkStart w:id="35" w:name="_Toc68279265"/>
      <w:bookmarkStart w:id="36" w:name="_Toc1019246753_WPSOffice_Level2"/>
      <w:bookmarkStart w:id="37" w:name="_Toc72706168"/>
      <w:bookmarkStart w:id="38" w:name="_Toc69227029"/>
      <w:bookmarkStart w:id="39" w:name="_Toc69227030"/>
      <w:bookmarkStart w:id="40" w:name="_Toc69226850"/>
      <w:r>
        <w:rPr>
          <w:rFonts w:hint="eastAsia" w:ascii="楷体" w:hAnsi="楷体" w:eastAsia="楷体" w:cs="楷体"/>
          <w:b w:val="0"/>
          <w:bCs w:val="0"/>
          <w:color w:val="auto"/>
          <w:kern w:val="0"/>
          <w:sz w:val="32"/>
          <w:szCs w:val="32"/>
          <w:highlight w:val="none"/>
          <w:shd w:val="clear" w:color="auto" w:fill="auto"/>
          <w:lang w:val="en-US" w:eastAsia="zh-CN" w:bidi="zh-CN"/>
        </w:rPr>
        <w:t>第五节   建立现代化的市场监管体系</w:t>
      </w:r>
      <w:bookmarkEnd w:id="33"/>
    </w:p>
    <w:p>
      <w:pPr>
        <w:pStyle w:val="5"/>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hint="eastAsia" w:ascii="仿宋" w:hAnsi="仿宋" w:eastAsia="仿宋" w:cs="仿宋"/>
          <w:b w:val="0"/>
          <w:bCs w:val="0"/>
          <w:color w:val="auto"/>
          <w:highlight w:val="none"/>
          <w:shd w:val="clear" w:color="auto" w:fill="auto"/>
        </w:rPr>
      </w:pPr>
      <w:r>
        <w:rPr>
          <w:rFonts w:hint="eastAsia" w:ascii="仿宋" w:hAnsi="仿宋" w:eastAsia="仿宋" w:cs="仿宋"/>
          <w:b w:val="0"/>
          <w:bCs w:val="0"/>
          <w:color w:val="auto"/>
          <w:kern w:val="0"/>
          <w:highlight w:val="none"/>
          <w:shd w:val="clear" w:color="auto" w:fill="auto"/>
        </w:rPr>
        <w:t>加强信用监管。进一步完善</w:t>
      </w:r>
      <w:r>
        <w:rPr>
          <w:rFonts w:hint="eastAsia" w:ascii="仿宋" w:hAnsi="仿宋" w:eastAsia="仿宋" w:cs="仿宋"/>
          <w:b w:val="0"/>
          <w:bCs w:val="0"/>
          <w:color w:val="auto"/>
          <w:spacing w:val="-2"/>
          <w:sz w:val="32"/>
          <w:szCs w:val="32"/>
          <w:highlight w:val="none"/>
          <w:shd w:val="clear" w:color="auto" w:fill="auto"/>
        </w:rPr>
        <w:t>以“双随机、一公开”</w:t>
      </w:r>
      <w:r>
        <w:rPr>
          <w:rFonts w:hint="eastAsia" w:ascii="仿宋" w:hAnsi="仿宋" w:eastAsia="仿宋" w:cs="仿宋"/>
          <w:b w:val="0"/>
          <w:bCs w:val="0"/>
          <w:color w:val="auto"/>
          <w:spacing w:val="-2"/>
          <w:sz w:val="32"/>
          <w:szCs w:val="32"/>
          <w:highlight w:val="none"/>
          <w:shd w:val="clear" w:color="auto" w:fill="auto"/>
          <w:lang w:eastAsia="zh-CN"/>
        </w:rPr>
        <w:t>监管和“互联网</w:t>
      </w:r>
      <w:r>
        <w:rPr>
          <w:rFonts w:hint="eastAsia" w:ascii="仿宋" w:hAnsi="仿宋" w:eastAsia="仿宋" w:cs="仿宋"/>
          <w:b w:val="0"/>
          <w:bCs w:val="0"/>
          <w:color w:val="auto"/>
          <w:spacing w:val="-2"/>
          <w:sz w:val="32"/>
          <w:szCs w:val="32"/>
          <w:highlight w:val="none"/>
          <w:shd w:val="clear" w:color="auto" w:fill="auto"/>
          <w:lang w:val="en-US" w:eastAsia="zh-CN"/>
        </w:rPr>
        <w:t>+监管</w:t>
      </w:r>
      <w:r>
        <w:rPr>
          <w:rFonts w:hint="eastAsia" w:ascii="仿宋" w:hAnsi="仿宋" w:eastAsia="仿宋" w:cs="仿宋"/>
          <w:b w:val="0"/>
          <w:bCs w:val="0"/>
          <w:color w:val="auto"/>
          <w:spacing w:val="-2"/>
          <w:sz w:val="32"/>
          <w:szCs w:val="32"/>
          <w:highlight w:val="none"/>
          <w:shd w:val="clear" w:color="auto" w:fill="auto"/>
          <w:lang w:eastAsia="zh-CN"/>
        </w:rPr>
        <w:t>”</w:t>
      </w:r>
      <w:r>
        <w:rPr>
          <w:rFonts w:hint="eastAsia" w:ascii="仿宋" w:hAnsi="仿宋" w:eastAsia="仿宋" w:cs="仿宋"/>
          <w:b w:val="0"/>
          <w:bCs w:val="0"/>
          <w:color w:val="auto"/>
          <w:spacing w:val="-2"/>
          <w:sz w:val="32"/>
          <w:szCs w:val="32"/>
          <w:highlight w:val="none"/>
          <w:shd w:val="clear" w:color="auto" w:fill="auto"/>
        </w:rPr>
        <w:t>为基本手段、以重点监管为补充、以信用监管为基础的新型监管机制</w:t>
      </w:r>
      <w:r>
        <w:rPr>
          <w:rFonts w:hint="eastAsia" w:ascii="仿宋" w:hAnsi="仿宋" w:eastAsia="仿宋" w:cs="仿宋"/>
          <w:b w:val="0"/>
          <w:bCs w:val="0"/>
          <w:color w:val="auto"/>
          <w:kern w:val="0"/>
          <w:highlight w:val="none"/>
          <w:shd w:val="clear" w:color="auto" w:fill="auto"/>
        </w:rPr>
        <w:t>，健全完善信用监管制度体系，提升信用监管的基础地位。加大信息归集共享公示力度，完善协同监管平台功能，扩大信息归集共享范围，实现行政审批、行政许可、行政处罚、登记注册、消费投诉举报等信息“应归尽归”，支持利用多种渠道公示市场主体信用信息。以信用分级分类为主要手段，强化信用监管对重点领域监管支撑作用，提高重点监管靶向性，提升监管质量和效率。落实国家联合奖惩备忘录制度，强化信用约束，规范失信行为等级划分、约束及解除措施，完善企业信用承诺</w:t>
      </w:r>
      <w:r>
        <w:rPr>
          <w:rFonts w:hint="eastAsia" w:ascii="仿宋" w:hAnsi="仿宋" w:eastAsia="仿宋" w:cs="仿宋"/>
          <w:b w:val="0"/>
          <w:bCs w:val="0"/>
          <w:color w:val="auto"/>
          <w:kern w:val="0"/>
          <w:highlight w:val="none"/>
          <w:shd w:val="clear" w:color="auto" w:fill="auto"/>
          <w:lang w:eastAsia="zh-CN"/>
        </w:rPr>
        <w:t>制度</w:t>
      </w:r>
      <w:r>
        <w:rPr>
          <w:rFonts w:hint="eastAsia" w:ascii="仿宋" w:hAnsi="仿宋" w:eastAsia="仿宋" w:cs="仿宋"/>
          <w:b w:val="0"/>
          <w:bCs w:val="0"/>
          <w:color w:val="auto"/>
          <w:kern w:val="0"/>
          <w:highlight w:val="none"/>
          <w:shd w:val="clear" w:color="auto" w:fill="auto"/>
        </w:rPr>
        <w:t>，健全信用修复工作机制。</w:t>
      </w:r>
    </w:p>
    <w:p>
      <w:pPr>
        <w:pStyle w:val="3"/>
        <w:keepNext w:val="0"/>
        <w:keepLines w:val="0"/>
        <w:pageBreakBefore w:val="0"/>
        <w:widowControl w:val="0"/>
        <w:kinsoku/>
        <w:wordWrap w:val="0"/>
        <w:overflowPunct/>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val="0"/>
          <w:color w:val="auto"/>
          <w:kern w:val="0"/>
          <w:highlight w:val="none"/>
          <w:shd w:val="clear" w:color="auto" w:fill="auto"/>
        </w:rPr>
      </w:pPr>
      <w:r>
        <w:rPr>
          <w:rFonts w:hint="eastAsia" w:ascii="仿宋" w:hAnsi="仿宋" w:eastAsia="仿宋" w:cs="仿宋"/>
          <w:b w:val="0"/>
          <w:bCs w:val="0"/>
          <w:color w:val="auto"/>
          <w:kern w:val="0"/>
          <w:highlight w:val="none"/>
          <w:shd w:val="clear" w:color="auto" w:fill="auto"/>
        </w:rPr>
        <w:t>加强网络交易监管。按照线上线下一体化监管原则，大力推进线上市场生态治理。坚持促发展和强规范并重，明确线上各类市场主体责任，督促网络交易平台加强行业自律、落实对平台内经营者的资质、产品质量等审核把关和监督责任。不断健全集中整治与日常监管相结合的工作机制，以食品、药品、保健用品、防疫用品、老人儿童用品等民生领域商品为重点，严厉打击销售假冒伪劣、虚假宣传、价格违法、垄断和不正当竞争、消费欺诈等违法行为，切实规范线上经营秩序。加强网络交易监测，提高线上市场风险监测和预警能力。着力适应日新月异的网络交易形势，创新监管方式和监管手段，大力加强新业态新模式交易监管，净化网络市场环境。加强联合联动，充分发挥网络交易监管联席会议成员单位作用，形成网络交易监管执法合力。</w:t>
      </w:r>
    </w:p>
    <w:p>
      <w:pPr>
        <w:pStyle w:val="3"/>
        <w:keepNext w:val="0"/>
        <w:keepLines w:val="0"/>
        <w:pageBreakBefore w:val="0"/>
        <w:widowControl w:val="0"/>
        <w:kinsoku/>
        <w:wordWrap w:val="0"/>
        <w:overflowPunct/>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val="0"/>
          <w:color w:val="auto"/>
          <w:kern w:val="0"/>
          <w:highlight w:val="none"/>
          <w:shd w:val="clear" w:color="auto" w:fill="auto"/>
        </w:rPr>
      </w:pPr>
      <w:r>
        <w:rPr>
          <w:rFonts w:hint="eastAsia" w:ascii="仿宋" w:hAnsi="仿宋" w:eastAsia="仿宋" w:cs="仿宋"/>
          <w:b w:val="0"/>
          <w:bCs w:val="0"/>
          <w:color w:val="auto"/>
          <w:kern w:val="0"/>
          <w:highlight w:val="none"/>
          <w:shd w:val="clear" w:color="auto" w:fill="auto"/>
        </w:rPr>
        <w:t>加强广告监管。坚持正确的政治方向、舆论导向和价值取向，强化广告导向监管。健全</w:t>
      </w:r>
      <w:r>
        <w:rPr>
          <w:rFonts w:hint="eastAsia" w:ascii="仿宋" w:hAnsi="仿宋" w:eastAsia="仿宋" w:cs="仿宋"/>
          <w:b w:val="0"/>
          <w:bCs w:val="0"/>
          <w:color w:val="auto"/>
          <w:kern w:val="0"/>
          <w:highlight w:val="none"/>
          <w:shd w:val="clear" w:color="auto" w:fill="auto"/>
          <w:lang w:eastAsia="zh-CN"/>
        </w:rPr>
        <w:t>完善</w:t>
      </w:r>
      <w:r>
        <w:rPr>
          <w:rFonts w:hint="eastAsia" w:ascii="仿宋" w:hAnsi="仿宋" w:eastAsia="仿宋" w:cs="仿宋"/>
          <w:b w:val="0"/>
          <w:bCs w:val="0"/>
          <w:color w:val="auto"/>
          <w:kern w:val="0"/>
          <w:highlight w:val="none"/>
          <w:shd w:val="clear" w:color="auto" w:fill="auto"/>
        </w:rPr>
        <w:t>广告监测体系，</w:t>
      </w:r>
      <w:r>
        <w:rPr>
          <w:rFonts w:hint="eastAsia" w:ascii="仿宋" w:hAnsi="仿宋" w:eastAsia="仿宋" w:cs="仿宋"/>
          <w:b w:val="0"/>
          <w:bCs w:val="0"/>
          <w:color w:val="auto"/>
          <w:kern w:val="0"/>
          <w:highlight w:val="none"/>
          <w:shd w:val="clear" w:color="auto" w:fill="auto"/>
          <w:lang w:eastAsia="zh-CN"/>
        </w:rPr>
        <w:t>加大互联网广告监测力度，落实互联网平台广告审核责任，</w:t>
      </w:r>
      <w:r>
        <w:rPr>
          <w:rFonts w:hint="eastAsia" w:ascii="仿宋" w:hAnsi="仿宋" w:eastAsia="仿宋" w:cs="仿宋"/>
          <w:b w:val="0"/>
          <w:bCs w:val="0"/>
          <w:color w:val="auto"/>
          <w:kern w:val="0"/>
          <w:highlight w:val="none"/>
          <w:shd w:val="clear" w:color="auto" w:fill="auto"/>
        </w:rPr>
        <w:t>丰富广告监测手段，以社会关注度高、群众反映强烈、与人民</w:t>
      </w:r>
      <w:r>
        <w:rPr>
          <w:rFonts w:hint="eastAsia" w:ascii="仿宋" w:hAnsi="仿宋" w:eastAsia="仿宋" w:cs="仿宋"/>
          <w:b w:val="0"/>
          <w:bCs w:val="0"/>
          <w:color w:val="auto"/>
          <w:kern w:val="0"/>
          <w:highlight w:val="none"/>
          <w:shd w:val="clear" w:color="auto" w:fill="auto"/>
          <w:lang w:eastAsia="zh-CN"/>
        </w:rPr>
        <w:t>群众</w:t>
      </w:r>
      <w:r>
        <w:rPr>
          <w:rFonts w:hint="eastAsia" w:ascii="仿宋" w:hAnsi="仿宋" w:eastAsia="仿宋" w:cs="仿宋"/>
          <w:b w:val="0"/>
          <w:bCs w:val="0"/>
          <w:color w:val="auto"/>
          <w:kern w:val="0"/>
          <w:highlight w:val="none"/>
          <w:shd w:val="clear" w:color="auto" w:fill="auto"/>
        </w:rPr>
        <w:t>日常生活关系密切的</w:t>
      </w:r>
      <w:r>
        <w:rPr>
          <w:rFonts w:hint="eastAsia" w:ascii="仿宋" w:hAnsi="仿宋" w:eastAsia="仿宋" w:cs="仿宋"/>
          <w:b w:val="0"/>
          <w:bCs w:val="0"/>
          <w:color w:val="auto"/>
          <w:kern w:val="0"/>
          <w:highlight w:val="none"/>
          <w:shd w:val="clear" w:color="auto" w:fill="auto"/>
          <w:lang w:eastAsia="zh-CN"/>
        </w:rPr>
        <w:t>线上线下</w:t>
      </w:r>
      <w:r>
        <w:rPr>
          <w:rFonts w:hint="eastAsia" w:ascii="仿宋" w:hAnsi="仿宋" w:eastAsia="仿宋" w:cs="仿宋"/>
          <w:b w:val="0"/>
          <w:bCs w:val="0"/>
          <w:color w:val="auto"/>
          <w:kern w:val="0"/>
          <w:highlight w:val="none"/>
          <w:shd w:val="clear" w:color="auto" w:fill="auto"/>
        </w:rPr>
        <w:t>虚假违法广告为整治重点，加大执法办案和整治力度。扎实做好药品、医疗器械、保健食品、特殊医学用途配方食品广告审查服务。创新监管方式，完善广告领域失信联合惩戒机制，有效遏制违法广告行为。</w:t>
      </w:r>
    </w:p>
    <w:p>
      <w:pPr>
        <w:pStyle w:val="3"/>
        <w:keepNext w:val="0"/>
        <w:keepLines w:val="0"/>
        <w:pageBreakBefore w:val="0"/>
        <w:widowControl w:val="0"/>
        <w:kinsoku/>
        <w:wordWrap w:val="0"/>
        <w:overflowPunct/>
        <w:topLinePunct/>
        <w:autoSpaceDE/>
        <w:autoSpaceDN/>
        <w:bidi w:val="0"/>
        <w:adjustRightInd/>
        <w:snapToGrid/>
        <w:spacing w:line="580" w:lineRule="exact"/>
        <w:ind w:left="0" w:leftChars="0" w:right="0" w:rightChars="0"/>
        <w:textAlignment w:val="auto"/>
        <w:rPr>
          <w:rFonts w:hint="eastAsia" w:ascii="仿宋" w:hAnsi="仿宋" w:eastAsia="仿宋" w:cs="仿宋"/>
          <w:b w:val="0"/>
          <w:bCs w:val="0"/>
          <w:color w:val="auto"/>
          <w:kern w:val="0"/>
          <w:highlight w:val="none"/>
          <w:shd w:val="clear" w:color="auto" w:fill="auto"/>
        </w:rPr>
      </w:pPr>
      <w:r>
        <w:rPr>
          <w:rFonts w:hint="eastAsia" w:ascii="仿宋" w:hAnsi="仿宋" w:eastAsia="仿宋" w:cs="仿宋"/>
          <w:b w:val="0"/>
          <w:bCs w:val="0"/>
          <w:color w:val="auto"/>
          <w:kern w:val="0"/>
          <w:highlight w:val="none"/>
          <w:shd w:val="clear" w:color="auto" w:fill="auto"/>
        </w:rPr>
        <w:t xml:space="preserve">    打击传销规范直销。建立完善打击传销工作机制、执法协作机制、群防群控机制，把打击传销作为社会治安综合治理的重要内容。积极推动建立“党政主导、政法牵头、部门协同、公众参与、综合治理”的</w:t>
      </w:r>
      <w:r>
        <w:rPr>
          <w:rFonts w:hint="eastAsia" w:ascii="仿宋" w:hAnsi="仿宋" w:eastAsia="仿宋" w:cs="仿宋"/>
          <w:b w:val="0"/>
          <w:bCs w:val="0"/>
          <w:color w:val="auto"/>
          <w:kern w:val="0"/>
          <w:highlight w:val="none"/>
          <w:shd w:val="clear" w:color="auto" w:fill="auto"/>
          <w:lang w:eastAsia="zh-CN"/>
        </w:rPr>
        <w:t>打击传销</w:t>
      </w:r>
      <w:r>
        <w:rPr>
          <w:rFonts w:hint="eastAsia" w:ascii="仿宋" w:hAnsi="仿宋" w:eastAsia="仿宋" w:cs="仿宋"/>
          <w:b w:val="0"/>
          <w:bCs w:val="0"/>
          <w:color w:val="auto"/>
          <w:kern w:val="0"/>
          <w:highlight w:val="none"/>
          <w:shd w:val="clear" w:color="auto" w:fill="auto"/>
        </w:rPr>
        <w:t>工作新格局。加强对网络传销的查处，遏制网络传销蔓延势头。加强对新形势新业态下新型传销的研判，加强风险预警提示和防范，强化案例宣传教育，提高公众识别和防范传销能力。加强直销企业监管，引导企业规范经营，严厉查处直销企业违法违规行为。</w:t>
      </w:r>
    </w:p>
    <w:p>
      <w:pPr>
        <w:pStyle w:val="3"/>
        <w:keepNext w:val="0"/>
        <w:keepLines w:val="0"/>
        <w:pageBreakBefore w:val="0"/>
        <w:widowControl w:val="0"/>
        <w:kinsoku/>
        <w:overflowPunct/>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val="0"/>
          <w:color w:val="auto"/>
          <w:kern w:val="0"/>
          <w:highlight w:val="none"/>
          <w:shd w:val="clear" w:color="auto" w:fill="auto"/>
        </w:rPr>
      </w:pPr>
      <w:r>
        <w:rPr>
          <w:rFonts w:hint="eastAsia" w:ascii="仿宋" w:hAnsi="仿宋" w:eastAsia="仿宋" w:cs="仿宋"/>
          <w:b w:val="0"/>
          <w:bCs w:val="0"/>
          <w:color w:val="auto"/>
          <w:kern w:val="0"/>
          <w:highlight w:val="none"/>
          <w:shd w:val="clear" w:color="auto" w:fill="auto"/>
        </w:rPr>
        <w:t>加强相关领域市场监管。对近年来</w:t>
      </w:r>
      <w:r>
        <w:rPr>
          <w:rFonts w:hint="eastAsia" w:ascii="仿宋" w:hAnsi="仿宋" w:eastAsia="仿宋" w:cs="仿宋"/>
          <w:b w:val="0"/>
          <w:bCs w:val="0"/>
          <w:color w:val="auto"/>
          <w:kern w:val="0"/>
          <w:highlight w:val="none"/>
          <w:shd w:val="clear" w:color="auto" w:fill="auto"/>
          <w:lang w:eastAsia="zh-CN"/>
        </w:rPr>
        <w:t>消费者</w:t>
      </w:r>
      <w:r>
        <w:rPr>
          <w:rFonts w:hint="eastAsia" w:ascii="仿宋" w:hAnsi="仿宋" w:eastAsia="仿宋" w:cs="仿宋"/>
          <w:b w:val="0"/>
          <w:bCs w:val="0"/>
          <w:color w:val="auto"/>
          <w:kern w:val="0"/>
          <w:highlight w:val="none"/>
          <w:shd w:val="clear" w:color="auto" w:fill="auto"/>
        </w:rPr>
        <w:t>反映强烈、关系</w:t>
      </w:r>
      <w:r>
        <w:rPr>
          <w:rFonts w:hint="eastAsia" w:ascii="仿宋" w:hAnsi="仿宋" w:eastAsia="仿宋" w:cs="仿宋"/>
          <w:b w:val="0"/>
          <w:bCs w:val="0"/>
          <w:color w:val="auto"/>
          <w:kern w:val="0"/>
          <w:highlight w:val="none"/>
          <w:shd w:val="clear" w:color="auto" w:fill="auto"/>
          <w:lang w:eastAsia="zh-CN"/>
        </w:rPr>
        <w:t>人民</w:t>
      </w:r>
      <w:r>
        <w:rPr>
          <w:rFonts w:hint="eastAsia" w:ascii="仿宋" w:hAnsi="仿宋" w:eastAsia="仿宋" w:cs="仿宋"/>
          <w:b w:val="0"/>
          <w:bCs w:val="0"/>
          <w:color w:val="auto"/>
          <w:kern w:val="0"/>
          <w:highlight w:val="none"/>
          <w:shd w:val="clear" w:color="auto" w:fill="auto"/>
        </w:rPr>
        <w:t>群众切身利益的领域进行重点整治。加强旅游市场监管，开展房地产乱象集中整治活动，加强物业服务质量监管，</w:t>
      </w:r>
      <w:r>
        <w:rPr>
          <w:rFonts w:hint="eastAsia" w:ascii="仿宋" w:hAnsi="仿宋" w:eastAsia="仿宋" w:cs="仿宋"/>
          <w:b w:val="0"/>
          <w:bCs w:val="0"/>
          <w:color w:val="auto"/>
          <w:kern w:val="0"/>
          <w:highlight w:val="none"/>
          <w:shd w:val="clear" w:color="auto" w:fill="auto"/>
          <w:lang w:eastAsia="zh-CN"/>
        </w:rPr>
        <w:t>强化</w:t>
      </w:r>
      <w:r>
        <w:rPr>
          <w:rFonts w:hint="eastAsia" w:ascii="仿宋" w:hAnsi="仿宋" w:eastAsia="仿宋" w:cs="仿宋"/>
          <w:b w:val="0"/>
          <w:bCs w:val="0"/>
          <w:color w:val="auto"/>
          <w:kern w:val="0"/>
          <w:highlight w:val="none"/>
          <w:shd w:val="clear" w:color="auto" w:fill="auto"/>
        </w:rPr>
        <w:t>教育领域</w:t>
      </w:r>
      <w:r>
        <w:rPr>
          <w:rFonts w:hint="eastAsia" w:ascii="仿宋" w:hAnsi="仿宋" w:eastAsia="仿宋" w:cs="仿宋"/>
          <w:b w:val="0"/>
          <w:bCs w:val="0"/>
          <w:color w:val="auto"/>
          <w:kern w:val="0"/>
          <w:highlight w:val="none"/>
          <w:shd w:val="clear" w:color="auto" w:fill="auto"/>
          <w:lang w:eastAsia="zh-CN"/>
        </w:rPr>
        <w:t>特别</w:t>
      </w:r>
      <w:r>
        <w:rPr>
          <w:rFonts w:hint="eastAsia" w:ascii="仿宋" w:hAnsi="仿宋" w:eastAsia="仿宋" w:cs="仿宋"/>
          <w:b w:val="0"/>
          <w:bCs w:val="0"/>
          <w:color w:val="auto"/>
          <w:kern w:val="0"/>
          <w:highlight w:val="none"/>
          <w:shd w:val="clear" w:color="auto" w:fill="auto"/>
        </w:rPr>
        <w:t>是校外培训机构监管</w:t>
      </w:r>
      <w:r>
        <w:rPr>
          <w:rFonts w:hint="eastAsia" w:ascii="仿宋" w:hAnsi="仿宋" w:eastAsia="仿宋" w:cs="仿宋"/>
          <w:b w:val="0"/>
          <w:bCs w:val="0"/>
          <w:color w:val="auto"/>
          <w:kern w:val="0"/>
          <w:highlight w:val="none"/>
          <w:shd w:val="clear" w:color="auto" w:fill="auto"/>
          <w:lang w:eastAsia="zh-CN"/>
        </w:rPr>
        <w:t>力度</w:t>
      </w:r>
      <w:r>
        <w:rPr>
          <w:rFonts w:hint="eastAsia" w:ascii="仿宋" w:hAnsi="仿宋" w:eastAsia="仿宋" w:cs="仿宋"/>
          <w:b w:val="0"/>
          <w:bCs w:val="0"/>
          <w:color w:val="auto"/>
          <w:kern w:val="0"/>
          <w:highlight w:val="none"/>
          <w:shd w:val="clear" w:color="auto" w:fill="auto"/>
        </w:rPr>
        <w:t>。加强中介合同监管，规范中介市场秩序。强化要素市场交易监管，对新产业新业态实施包容审慎监管。</w:t>
      </w:r>
    </w:p>
    <w:p>
      <w:pPr>
        <w:pStyle w:val="5"/>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right="0" w:rightChars="0"/>
        <w:jc w:val="center"/>
        <w:textAlignment w:val="auto"/>
        <w:outlineLvl w:val="1"/>
        <w:rPr>
          <w:rFonts w:hint="eastAsia" w:ascii="楷体" w:hAnsi="楷体" w:eastAsia="楷体" w:cs="楷体"/>
          <w:b w:val="0"/>
          <w:bCs/>
          <w:color w:val="auto"/>
          <w:sz w:val="32"/>
          <w:szCs w:val="36"/>
          <w:highlight w:val="none"/>
          <w:shd w:val="clear" w:color="auto" w:fill="auto"/>
        </w:rPr>
      </w:pPr>
      <w:bookmarkStart w:id="41" w:name="_Toc72706166"/>
      <w:bookmarkStart w:id="42" w:name="_Toc68279264"/>
      <w:bookmarkStart w:id="43" w:name="_Toc25043"/>
      <w:bookmarkStart w:id="44" w:name="_Toc69226849"/>
      <w:bookmarkStart w:id="45" w:name="_Toc69227028"/>
      <w:r>
        <w:rPr>
          <w:rFonts w:hint="eastAsia" w:ascii="楷体" w:hAnsi="楷体" w:eastAsia="楷体" w:cs="楷体"/>
          <w:b w:val="0"/>
          <w:bCs/>
          <w:color w:val="auto"/>
          <w:sz w:val="32"/>
          <w:szCs w:val="36"/>
          <w:highlight w:val="none"/>
          <w:shd w:val="clear" w:color="auto" w:fill="auto"/>
          <w:lang w:val="en-US" w:eastAsia="zh-CN"/>
        </w:rPr>
        <w:t xml:space="preserve">第六节  </w:t>
      </w:r>
      <w:r>
        <w:rPr>
          <w:rFonts w:hint="eastAsia" w:ascii="楷体" w:hAnsi="楷体" w:eastAsia="楷体" w:cs="楷体"/>
          <w:b w:val="0"/>
          <w:bCs/>
          <w:color w:val="auto"/>
          <w:sz w:val="32"/>
          <w:szCs w:val="36"/>
          <w:highlight w:val="none"/>
          <w:shd w:val="clear" w:color="auto" w:fill="auto"/>
        </w:rPr>
        <w:t>构建</w:t>
      </w:r>
      <w:r>
        <w:rPr>
          <w:rFonts w:hint="eastAsia" w:ascii="楷体" w:hAnsi="楷体" w:eastAsia="楷体" w:cs="楷体"/>
          <w:b w:val="0"/>
          <w:bCs/>
          <w:color w:val="auto"/>
          <w:sz w:val="32"/>
          <w:szCs w:val="36"/>
          <w:highlight w:val="none"/>
          <w:shd w:val="clear" w:color="auto" w:fill="auto"/>
          <w:lang w:eastAsia="zh-CN"/>
        </w:rPr>
        <w:t>高效能</w:t>
      </w:r>
      <w:r>
        <w:rPr>
          <w:rFonts w:hint="eastAsia" w:ascii="楷体" w:hAnsi="楷体" w:eastAsia="楷体" w:cs="楷体"/>
          <w:b w:val="0"/>
          <w:bCs/>
          <w:color w:val="auto"/>
          <w:sz w:val="32"/>
          <w:szCs w:val="36"/>
          <w:highlight w:val="none"/>
          <w:shd w:val="clear" w:color="auto" w:fill="auto"/>
        </w:rPr>
        <w:t>的综合执法体系</w:t>
      </w:r>
      <w:bookmarkEnd w:id="41"/>
      <w:bookmarkEnd w:id="42"/>
      <w:bookmarkEnd w:id="43"/>
      <w:bookmarkEnd w:id="44"/>
      <w:bookmarkEnd w:id="45"/>
    </w:p>
    <w:p>
      <w:pPr>
        <w:pStyle w:val="3"/>
        <w:keepNext w:val="0"/>
        <w:keepLines w:val="0"/>
        <w:pageBreakBefore w:val="0"/>
        <w:widowControl w:val="0"/>
        <w:kinsoku/>
        <w:overflowPunct/>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val="0"/>
          <w:color w:val="auto"/>
          <w:kern w:val="0"/>
          <w:highlight w:val="none"/>
          <w:shd w:val="clear" w:color="auto" w:fill="auto"/>
        </w:rPr>
      </w:pPr>
      <w:r>
        <w:rPr>
          <w:rFonts w:hint="eastAsia" w:ascii="仿宋" w:hAnsi="仿宋" w:eastAsia="仿宋" w:cs="仿宋"/>
          <w:b w:val="0"/>
          <w:bCs w:val="0"/>
          <w:color w:val="auto"/>
          <w:kern w:val="0"/>
          <w:highlight w:val="none"/>
          <w:shd w:val="clear" w:color="auto" w:fill="auto"/>
        </w:rPr>
        <w:t>持续提升法治建设水平。</w:t>
      </w:r>
      <w:r>
        <w:rPr>
          <w:rFonts w:hint="eastAsia" w:ascii="仿宋" w:hAnsi="仿宋" w:eastAsia="仿宋" w:cs="仿宋"/>
          <w:b w:val="0"/>
          <w:bCs w:val="0"/>
          <w:color w:val="auto"/>
          <w:highlight w:val="none"/>
          <w:shd w:val="clear" w:color="auto" w:fill="auto"/>
        </w:rPr>
        <w:t>根</w:t>
      </w:r>
      <w:r>
        <w:rPr>
          <w:rFonts w:hint="eastAsia" w:ascii="仿宋" w:hAnsi="仿宋" w:eastAsia="仿宋" w:cs="仿宋"/>
          <w:b w:val="0"/>
          <w:bCs w:val="0"/>
          <w:color w:val="auto"/>
          <w:kern w:val="0"/>
          <w:highlight w:val="none"/>
          <w:shd w:val="clear" w:color="auto" w:fill="auto"/>
        </w:rPr>
        <w:t>据市场监管实际需要，加快制度建设，完善行政执法相关制度、权</w:t>
      </w:r>
      <w:r>
        <w:rPr>
          <w:rFonts w:hint="eastAsia" w:ascii="仿宋" w:hAnsi="仿宋" w:eastAsia="仿宋" w:cs="仿宋"/>
          <w:b w:val="0"/>
          <w:bCs w:val="0"/>
          <w:color w:val="auto"/>
          <w:kern w:val="0"/>
          <w:highlight w:val="none"/>
          <w:shd w:val="clear" w:color="auto" w:fill="auto"/>
          <w:lang w:eastAsia="zh-CN"/>
        </w:rPr>
        <w:t>责</w:t>
      </w:r>
      <w:r>
        <w:rPr>
          <w:rFonts w:hint="eastAsia" w:ascii="仿宋" w:hAnsi="仿宋" w:eastAsia="仿宋" w:cs="仿宋"/>
          <w:b w:val="0"/>
          <w:bCs w:val="0"/>
          <w:color w:val="auto"/>
          <w:kern w:val="0"/>
          <w:highlight w:val="none"/>
          <w:shd w:val="clear" w:color="auto" w:fill="auto"/>
        </w:rPr>
        <w:t>清单制度、重大行政决策制度，</w:t>
      </w:r>
      <w:r>
        <w:rPr>
          <w:rFonts w:hint="eastAsia" w:ascii="仿宋" w:hAnsi="仿宋" w:eastAsia="仿宋" w:cs="仿宋"/>
          <w:b w:val="0"/>
          <w:bCs w:val="0"/>
          <w:color w:val="auto"/>
          <w:kern w:val="0"/>
          <w:highlight w:val="none"/>
          <w:shd w:val="clear" w:color="auto" w:fill="auto"/>
          <w:lang w:eastAsia="zh-CN"/>
        </w:rPr>
        <w:t>推动</w:t>
      </w:r>
      <w:r>
        <w:rPr>
          <w:rFonts w:hint="eastAsia" w:ascii="仿宋" w:hAnsi="仿宋" w:eastAsia="仿宋" w:cs="仿宋"/>
          <w:b w:val="0"/>
          <w:bCs w:val="0"/>
          <w:color w:val="auto"/>
          <w:kern w:val="0"/>
          <w:highlight w:val="none"/>
          <w:shd w:val="clear" w:color="auto" w:fill="auto"/>
        </w:rPr>
        <w:t>构建与国家法律体系相配套的地方法规体系，推进事权规范化、法</w:t>
      </w:r>
      <w:r>
        <w:rPr>
          <w:rFonts w:hint="eastAsia" w:ascii="仿宋" w:hAnsi="仿宋" w:eastAsia="仿宋" w:cs="仿宋"/>
          <w:b w:val="0"/>
          <w:bCs w:val="0"/>
          <w:color w:val="auto"/>
          <w:kern w:val="0"/>
          <w:highlight w:val="none"/>
          <w:shd w:val="clear" w:color="auto" w:fill="auto"/>
          <w:lang w:eastAsia="zh-CN"/>
        </w:rPr>
        <w:t>治</w:t>
      </w:r>
      <w:r>
        <w:rPr>
          <w:rFonts w:hint="eastAsia" w:ascii="仿宋" w:hAnsi="仿宋" w:eastAsia="仿宋" w:cs="仿宋"/>
          <w:b w:val="0"/>
          <w:bCs w:val="0"/>
          <w:color w:val="auto"/>
          <w:kern w:val="0"/>
          <w:highlight w:val="none"/>
          <w:shd w:val="clear" w:color="auto" w:fill="auto"/>
        </w:rPr>
        <w:t>化。着力建设完善</w:t>
      </w:r>
      <w:r>
        <w:rPr>
          <w:rFonts w:hint="eastAsia" w:ascii="仿宋" w:hAnsi="仿宋" w:eastAsia="仿宋" w:cs="仿宋"/>
          <w:b w:val="0"/>
          <w:bCs w:val="0"/>
          <w:color w:val="auto"/>
          <w:kern w:val="0"/>
          <w:highlight w:val="none"/>
          <w:shd w:val="clear" w:color="auto" w:fill="auto"/>
          <w:lang w:eastAsia="zh-CN"/>
        </w:rPr>
        <w:t>落实</w:t>
      </w:r>
      <w:r>
        <w:rPr>
          <w:rFonts w:hint="eastAsia" w:ascii="仿宋" w:hAnsi="仿宋" w:eastAsia="仿宋" w:cs="仿宋"/>
          <w:b w:val="0"/>
          <w:bCs w:val="0"/>
          <w:color w:val="auto"/>
          <w:kern w:val="0"/>
          <w:highlight w:val="none"/>
          <w:shd w:val="clear" w:color="auto" w:fill="auto"/>
        </w:rPr>
        <w:t>法律顾问和公职律师制度，健全行政执法和刑事司法衔接机制，完善案件移送标准和程序，严格执行行政执法协作相关规定。</w:t>
      </w:r>
    </w:p>
    <w:p>
      <w:pPr>
        <w:pStyle w:val="3"/>
        <w:keepNext w:val="0"/>
        <w:keepLines w:val="0"/>
        <w:pageBreakBefore w:val="0"/>
        <w:widowControl w:val="0"/>
        <w:kinsoku/>
        <w:wordWrap w:val="0"/>
        <w:overflowPunct/>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val="0"/>
          <w:color w:val="auto"/>
          <w:kern w:val="0"/>
          <w:highlight w:val="none"/>
          <w:shd w:val="clear" w:color="auto" w:fill="auto"/>
        </w:rPr>
      </w:pPr>
      <w:r>
        <w:rPr>
          <w:rFonts w:hint="eastAsia" w:ascii="仿宋" w:hAnsi="仿宋" w:eastAsia="仿宋" w:cs="仿宋"/>
          <w:b w:val="0"/>
          <w:bCs w:val="0"/>
          <w:color w:val="auto"/>
          <w:kern w:val="0"/>
          <w:highlight w:val="none"/>
          <w:shd w:val="clear" w:color="auto" w:fill="auto"/>
        </w:rPr>
        <w:t>积极构建法治监督机制。完善内部层级监督和专门监督，建立常态化监督制度，加强行政执法事中事后监督。强化执法考核和行政问责，综合运用专项执法检查、执法案卷评查等方式，大力整治行政机关不作为乱作为、以罚代管、以“放”代管等违法违规行为。健全执法监督机制，严格落实行政执法责任制。</w:t>
      </w:r>
    </w:p>
    <w:p>
      <w:pPr>
        <w:pStyle w:val="3"/>
        <w:keepNext w:val="0"/>
        <w:keepLines w:val="0"/>
        <w:pageBreakBefore w:val="0"/>
        <w:widowControl w:val="0"/>
        <w:kinsoku/>
        <w:overflowPunct/>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val="0"/>
          <w:color w:val="auto"/>
          <w:highlight w:val="none"/>
          <w:shd w:val="clear" w:color="auto" w:fill="auto"/>
        </w:rPr>
      </w:pPr>
      <w:r>
        <w:rPr>
          <w:rFonts w:hint="eastAsia" w:ascii="仿宋" w:hAnsi="仿宋" w:eastAsia="仿宋" w:cs="仿宋"/>
          <w:b w:val="0"/>
          <w:bCs w:val="0"/>
          <w:color w:val="auto"/>
          <w:kern w:val="0"/>
          <w:highlight w:val="none"/>
          <w:shd w:val="clear" w:color="auto" w:fill="auto"/>
          <w:lang w:eastAsia="zh-CN"/>
        </w:rPr>
        <w:t>不断</w:t>
      </w:r>
      <w:r>
        <w:rPr>
          <w:rFonts w:hint="eastAsia" w:ascii="仿宋" w:hAnsi="仿宋" w:eastAsia="仿宋" w:cs="仿宋"/>
          <w:b w:val="0"/>
          <w:bCs w:val="0"/>
          <w:color w:val="auto"/>
          <w:kern w:val="0"/>
          <w:highlight w:val="none"/>
          <w:shd w:val="clear" w:color="auto" w:fill="auto"/>
        </w:rPr>
        <w:t>提升行政执法水平。严格规范公正文明执法，</w:t>
      </w:r>
      <w:r>
        <w:rPr>
          <w:rFonts w:hint="eastAsia" w:ascii="仿宋" w:hAnsi="仿宋" w:eastAsia="仿宋" w:cs="仿宋"/>
          <w:b w:val="0"/>
          <w:bCs w:val="0"/>
          <w:color w:val="auto"/>
          <w:kern w:val="0"/>
          <w:highlight w:val="none"/>
          <w:shd w:val="clear" w:color="auto" w:fill="auto"/>
          <w:lang w:eastAsia="zh-CN"/>
        </w:rPr>
        <w:t>深入推动行政执法“三项制度”实施，</w:t>
      </w:r>
      <w:r>
        <w:rPr>
          <w:rFonts w:hint="eastAsia" w:ascii="仿宋" w:hAnsi="仿宋" w:eastAsia="仿宋" w:cs="仿宋"/>
          <w:b w:val="0"/>
          <w:bCs w:val="0"/>
          <w:color w:val="auto"/>
          <w:kern w:val="0"/>
          <w:highlight w:val="none"/>
          <w:shd w:val="clear" w:color="auto" w:fill="auto"/>
        </w:rPr>
        <w:t>优化改进行政执法方式，推进行政执法规范化建设，规范执法程序，推行执法文书电子化、执法案卷标准化、记录方式科学化、监督管理便利化。规范行使自由裁量权，严格按照法定权限和程序行使权力、履行职责。加强执法上下协调联动，强化区域协查联办，对涉嫌犯罪案件严格落实行刑衔接制度进行移送。</w:t>
      </w:r>
    </w:p>
    <w:p>
      <w:pPr>
        <w:pStyle w:val="5"/>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color w:val="auto"/>
          <w:sz w:val="32"/>
          <w:szCs w:val="36"/>
          <w:highlight w:val="none"/>
          <w:shd w:val="clear" w:color="auto" w:fill="auto"/>
        </w:rPr>
      </w:pPr>
      <w:bookmarkStart w:id="46" w:name="_Toc72706167"/>
      <w:bookmarkStart w:id="47" w:name="_Toc20787"/>
      <w:r>
        <w:rPr>
          <w:rFonts w:hint="eastAsia" w:ascii="楷体" w:hAnsi="楷体" w:eastAsia="楷体" w:cs="楷体"/>
          <w:b w:val="0"/>
          <w:bCs/>
          <w:color w:val="auto"/>
          <w:sz w:val="32"/>
          <w:szCs w:val="36"/>
          <w:highlight w:val="none"/>
          <w:shd w:val="clear" w:color="auto" w:fill="auto"/>
          <w:lang w:eastAsia="zh-CN"/>
        </w:rPr>
        <w:t>第七节</w:t>
      </w:r>
      <w:r>
        <w:rPr>
          <w:rFonts w:hint="eastAsia" w:ascii="楷体" w:hAnsi="楷体" w:eastAsia="楷体" w:cs="楷体"/>
          <w:b w:val="0"/>
          <w:bCs/>
          <w:color w:val="auto"/>
          <w:sz w:val="32"/>
          <w:szCs w:val="36"/>
          <w:highlight w:val="none"/>
          <w:shd w:val="clear" w:color="auto" w:fill="auto"/>
          <w:lang w:val="en-US" w:eastAsia="zh-CN"/>
        </w:rPr>
        <w:t xml:space="preserve">  </w:t>
      </w:r>
      <w:r>
        <w:rPr>
          <w:rFonts w:hint="eastAsia" w:ascii="楷体" w:hAnsi="楷体" w:eastAsia="楷体" w:cs="楷体"/>
          <w:b w:val="0"/>
          <w:bCs/>
          <w:color w:val="auto"/>
          <w:sz w:val="32"/>
          <w:szCs w:val="36"/>
          <w:highlight w:val="none"/>
          <w:shd w:val="clear" w:color="auto" w:fill="auto"/>
        </w:rPr>
        <w:t>完善多元集成的协同共治体系</w:t>
      </w:r>
      <w:bookmarkEnd w:id="46"/>
      <w:bookmarkEnd w:id="47"/>
    </w:p>
    <w:p>
      <w:pPr>
        <w:pStyle w:val="3"/>
        <w:keepNext w:val="0"/>
        <w:keepLines w:val="0"/>
        <w:pageBreakBefore w:val="0"/>
        <w:widowControl w:val="0"/>
        <w:kinsoku/>
        <w:overflow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val="0"/>
          <w:color w:val="auto"/>
          <w:kern w:val="0"/>
          <w:highlight w:val="none"/>
          <w:shd w:val="clear" w:color="auto" w:fill="auto"/>
        </w:rPr>
      </w:pPr>
      <w:r>
        <w:rPr>
          <w:rFonts w:hint="eastAsia" w:ascii="仿宋" w:hAnsi="仿宋" w:eastAsia="仿宋" w:cs="仿宋"/>
          <w:b w:val="0"/>
          <w:bCs w:val="0"/>
          <w:color w:val="auto"/>
          <w:kern w:val="0"/>
          <w:highlight w:val="none"/>
          <w:shd w:val="clear" w:color="auto" w:fill="auto"/>
        </w:rPr>
        <w:t>推动企业自治。督促企业落实主体责任、</w:t>
      </w:r>
      <w:r>
        <w:rPr>
          <w:rFonts w:hint="eastAsia" w:ascii="仿宋" w:hAnsi="仿宋" w:eastAsia="仿宋" w:cs="仿宋"/>
          <w:b w:val="0"/>
          <w:bCs w:val="0"/>
          <w:color w:val="auto"/>
          <w:highlight w:val="none"/>
          <w:shd w:val="clear" w:color="auto" w:fill="auto"/>
        </w:rPr>
        <w:t>履行法定义务，积极</w:t>
      </w:r>
      <w:r>
        <w:rPr>
          <w:rFonts w:hint="eastAsia" w:ascii="仿宋" w:hAnsi="仿宋" w:eastAsia="仿宋" w:cs="仿宋"/>
          <w:b w:val="0"/>
          <w:bCs w:val="0"/>
          <w:color w:val="auto"/>
          <w:kern w:val="0"/>
          <w:highlight w:val="none"/>
          <w:shd w:val="clear" w:color="auto" w:fill="auto"/>
        </w:rPr>
        <w:t>开展自检自查，落实风险自查报告制度，</w:t>
      </w:r>
      <w:r>
        <w:rPr>
          <w:rFonts w:hint="eastAsia" w:ascii="仿宋" w:hAnsi="仿宋" w:eastAsia="仿宋" w:cs="仿宋"/>
          <w:b w:val="0"/>
          <w:bCs w:val="0"/>
          <w:color w:val="auto"/>
          <w:highlight w:val="none"/>
          <w:shd w:val="clear" w:color="auto" w:fill="auto"/>
        </w:rPr>
        <w:t>严格控制产品质量、维护自身信誉，自觉守法诚信经营。</w:t>
      </w:r>
    </w:p>
    <w:p>
      <w:pPr>
        <w:pStyle w:val="3"/>
        <w:keepNext w:val="0"/>
        <w:keepLines w:val="0"/>
        <w:pageBreakBefore w:val="0"/>
        <w:widowControl w:val="0"/>
        <w:kinsoku/>
        <w:overflow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val="0"/>
          <w:color w:val="auto"/>
          <w:kern w:val="0"/>
          <w:highlight w:val="none"/>
          <w:shd w:val="clear" w:color="auto" w:fill="auto"/>
        </w:rPr>
      </w:pPr>
      <w:r>
        <w:rPr>
          <w:rFonts w:hint="eastAsia" w:ascii="仿宋" w:hAnsi="仿宋" w:eastAsia="仿宋" w:cs="仿宋"/>
          <w:b w:val="0"/>
          <w:bCs w:val="0"/>
          <w:color w:val="auto"/>
          <w:kern w:val="0"/>
          <w:highlight w:val="none"/>
          <w:shd w:val="clear" w:color="auto" w:fill="auto"/>
        </w:rPr>
        <w:t>加强行业自律。落实行业主管责任，充分发挥行业组织自律作用，</w:t>
      </w:r>
      <w:r>
        <w:rPr>
          <w:rFonts w:hint="eastAsia" w:ascii="仿宋" w:hAnsi="仿宋" w:eastAsia="仿宋" w:cs="仿宋"/>
          <w:b w:val="0"/>
          <w:bCs w:val="0"/>
          <w:color w:val="auto"/>
          <w:kern w:val="0"/>
          <w:highlight w:val="none"/>
          <w:shd w:val="clear" w:color="auto" w:fill="auto"/>
          <w:lang w:eastAsia="zh-CN"/>
        </w:rPr>
        <w:t>引导和促进生产经营者依法竞争，</w:t>
      </w:r>
      <w:r>
        <w:rPr>
          <w:rFonts w:hint="eastAsia" w:ascii="仿宋" w:hAnsi="仿宋" w:eastAsia="仿宋" w:cs="仿宋"/>
          <w:b w:val="0"/>
          <w:bCs w:val="0"/>
          <w:color w:val="auto"/>
          <w:kern w:val="0"/>
          <w:highlight w:val="none"/>
          <w:shd w:val="clear" w:color="auto" w:fill="auto"/>
        </w:rPr>
        <w:t>减少行业壁垒和行业垄断。建立健全行规行约，</w:t>
      </w:r>
      <w:r>
        <w:rPr>
          <w:rFonts w:hint="eastAsia" w:ascii="仿宋" w:hAnsi="仿宋" w:eastAsia="仿宋" w:cs="仿宋"/>
          <w:b w:val="0"/>
          <w:bCs w:val="0"/>
          <w:color w:val="auto"/>
          <w:kern w:val="0"/>
          <w:highlight w:val="none"/>
          <w:shd w:val="clear" w:color="auto" w:fill="auto"/>
          <w:lang w:eastAsia="zh-CN"/>
        </w:rPr>
        <w:t>规范</w:t>
      </w:r>
      <w:r>
        <w:rPr>
          <w:rFonts w:hint="eastAsia" w:ascii="仿宋" w:hAnsi="仿宋" w:eastAsia="仿宋" w:cs="仿宋"/>
          <w:b w:val="0"/>
          <w:bCs w:val="0"/>
          <w:color w:val="auto"/>
          <w:kern w:val="0"/>
          <w:highlight w:val="none"/>
          <w:shd w:val="clear" w:color="auto" w:fill="auto"/>
        </w:rPr>
        <w:t>行业内企业行为，维护行业</w:t>
      </w:r>
      <w:r>
        <w:rPr>
          <w:rFonts w:hint="eastAsia" w:ascii="仿宋" w:hAnsi="仿宋" w:eastAsia="仿宋" w:cs="仿宋"/>
          <w:b w:val="0"/>
          <w:bCs w:val="0"/>
          <w:color w:val="auto"/>
          <w:kern w:val="0"/>
          <w:highlight w:val="none"/>
          <w:shd w:val="clear" w:color="auto" w:fill="auto"/>
          <w:lang w:eastAsia="zh-CN"/>
        </w:rPr>
        <w:t>内企业</w:t>
      </w:r>
      <w:r>
        <w:rPr>
          <w:rFonts w:hint="eastAsia" w:ascii="仿宋" w:hAnsi="仿宋" w:eastAsia="仿宋" w:cs="仿宋"/>
          <w:b w:val="0"/>
          <w:bCs w:val="0"/>
          <w:color w:val="auto"/>
          <w:kern w:val="0"/>
          <w:highlight w:val="none"/>
          <w:shd w:val="clear" w:color="auto" w:fill="auto"/>
        </w:rPr>
        <w:t>间</w:t>
      </w:r>
      <w:r>
        <w:rPr>
          <w:rFonts w:hint="eastAsia" w:ascii="仿宋" w:hAnsi="仿宋" w:eastAsia="仿宋" w:cs="仿宋"/>
          <w:b w:val="0"/>
          <w:bCs w:val="0"/>
          <w:color w:val="auto"/>
          <w:kern w:val="0"/>
          <w:highlight w:val="none"/>
          <w:shd w:val="clear" w:color="auto" w:fill="auto"/>
          <w:lang w:eastAsia="zh-CN"/>
        </w:rPr>
        <w:t>的</w:t>
      </w:r>
      <w:r>
        <w:rPr>
          <w:rFonts w:hint="eastAsia" w:ascii="仿宋" w:hAnsi="仿宋" w:eastAsia="仿宋" w:cs="仿宋"/>
          <w:b w:val="0"/>
          <w:bCs w:val="0"/>
          <w:color w:val="auto"/>
          <w:kern w:val="0"/>
          <w:highlight w:val="none"/>
          <w:shd w:val="clear" w:color="auto" w:fill="auto"/>
        </w:rPr>
        <w:t>公平竞争和正当利益，促进行业</w:t>
      </w:r>
      <w:r>
        <w:rPr>
          <w:rFonts w:hint="eastAsia" w:ascii="仿宋" w:hAnsi="仿宋" w:eastAsia="仿宋" w:cs="仿宋"/>
          <w:b w:val="0"/>
          <w:bCs w:val="0"/>
          <w:color w:val="auto"/>
          <w:kern w:val="0"/>
          <w:highlight w:val="none"/>
          <w:shd w:val="clear" w:color="auto" w:fill="auto"/>
          <w:lang w:eastAsia="zh-CN"/>
        </w:rPr>
        <w:t>健康</w:t>
      </w:r>
      <w:r>
        <w:rPr>
          <w:rFonts w:hint="eastAsia" w:ascii="仿宋" w:hAnsi="仿宋" w:eastAsia="仿宋" w:cs="仿宋"/>
          <w:b w:val="0"/>
          <w:bCs w:val="0"/>
          <w:color w:val="auto"/>
          <w:kern w:val="0"/>
          <w:highlight w:val="none"/>
          <w:shd w:val="clear" w:color="auto" w:fill="auto"/>
        </w:rPr>
        <w:t>发展。</w:t>
      </w:r>
    </w:p>
    <w:p>
      <w:pPr>
        <w:pStyle w:val="3"/>
        <w:keepNext w:val="0"/>
        <w:keepLines w:val="0"/>
        <w:pageBreakBefore w:val="0"/>
        <w:widowControl w:val="0"/>
        <w:kinsoku/>
        <w:overflow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val="0"/>
          <w:color w:val="auto"/>
          <w:kern w:val="0"/>
          <w:highlight w:val="none"/>
          <w:shd w:val="clear" w:color="auto" w:fill="auto"/>
        </w:rPr>
      </w:pPr>
      <w:r>
        <w:rPr>
          <w:rFonts w:hint="eastAsia" w:ascii="仿宋" w:hAnsi="仿宋" w:eastAsia="仿宋" w:cs="仿宋"/>
          <w:b w:val="0"/>
          <w:bCs w:val="0"/>
          <w:color w:val="auto"/>
          <w:kern w:val="0"/>
          <w:highlight w:val="none"/>
          <w:shd w:val="clear" w:color="auto" w:fill="auto"/>
        </w:rPr>
        <w:t>强化社会监督。充分发挥社会监督功能，推进质量社会共治、食品药品安全社会共治。鼓励新闻媒体、从业人员、消费者、中介机构等发挥监督作用，</w:t>
      </w:r>
      <w:r>
        <w:rPr>
          <w:rFonts w:hint="eastAsia" w:ascii="仿宋" w:hAnsi="仿宋" w:eastAsia="仿宋" w:cs="仿宋"/>
          <w:b w:val="0"/>
          <w:bCs w:val="0"/>
          <w:color w:val="auto"/>
          <w:kern w:val="0"/>
          <w:highlight w:val="none"/>
          <w:shd w:val="clear" w:color="auto" w:fill="auto"/>
          <w:lang w:eastAsia="zh-CN"/>
        </w:rPr>
        <w:t>积极</w:t>
      </w:r>
      <w:r>
        <w:rPr>
          <w:rFonts w:hint="eastAsia" w:ascii="仿宋" w:hAnsi="仿宋" w:eastAsia="仿宋" w:cs="仿宋"/>
          <w:b w:val="0"/>
          <w:bCs w:val="0"/>
          <w:color w:val="auto"/>
          <w:kern w:val="0"/>
          <w:highlight w:val="none"/>
          <w:shd w:val="clear" w:color="auto" w:fill="auto"/>
        </w:rPr>
        <w:t>开展市场监管法律法规政策宣传活动，曝光相关典型案例，引导守法诚信经营。充分重视群众监督举报线索，</w:t>
      </w:r>
      <w:r>
        <w:rPr>
          <w:rFonts w:hint="eastAsia" w:ascii="仿宋" w:hAnsi="仿宋" w:eastAsia="仿宋" w:cs="仿宋"/>
          <w:b w:val="0"/>
          <w:bCs w:val="0"/>
          <w:color w:val="auto"/>
          <w:kern w:val="0"/>
          <w:highlight w:val="none"/>
          <w:shd w:val="clear" w:color="auto" w:fill="auto"/>
          <w:lang w:eastAsia="zh-CN"/>
        </w:rPr>
        <w:t>全面完善</w:t>
      </w:r>
      <w:r>
        <w:rPr>
          <w:rFonts w:hint="eastAsia" w:ascii="仿宋" w:hAnsi="仿宋" w:eastAsia="仿宋" w:cs="仿宋"/>
          <w:b w:val="0"/>
          <w:bCs w:val="0"/>
          <w:color w:val="auto"/>
          <w:kern w:val="0"/>
          <w:highlight w:val="none"/>
          <w:shd w:val="clear" w:color="auto" w:fill="auto"/>
        </w:rPr>
        <w:t>违法行为举报奖励制度，有效发挥社会协管员的监督作用，营造全民参与市场监管氛围。</w:t>
      </w:r>
    </w:p>
    <w:p>
      <w:pPr>
        <w:pStyle w:val="3"/>
        <w:keepNext w:val="0"/>
        <w:keepLines w:val="0"/>
        <w:pageBreakBefore w:val="0"/>
        <w:widowControl w:val="0"/>
        <w:kinsoku/>
        <w:overflow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val="0"/>
          <w:color w:val="auto"/>
          <w:kern w:val="0"/>
          <w:highlight w:val="none"/>
          <w:shd w:val="clear" w:color="auto" w:fill="auto"/>
        </w:rPr>
      </w:pPr>
      <w:r>
        <w:rPr>
          <w:rFonts w:hint="eastAsia" w:ascii="仿宋" w:hAnsi="仿宋" w:eastAsia="仿宋" w:cs="仿宋"/>
          <w:b w:val="0"/>
          <w:bCs w:val="0"/>
          <w:color w:val="auto"/>
          <w:kern w:val="0"/>
          <w:highlight w:val="none"/>
          <w:shd w:val="clear" w:color="auto" w:fill="auto"/>
        </w:rPr>
        <w:t>推进部门协同。厘清监管职责，建立健全跨部门、跨区域执法协同机制，消除监管盲点，形成监管合力。完善部门间信息反馈、归集共享、线索通报、证据移转、案件协查、联合办案以及检验鉴定结果互认等制度，加强市场监管领域相关部门间的协同执法，实现多部门联合监管。探索推行区域一体化市场监管，形成区域市场综合监管体系。</w:t>
      </w:r>
    </w:p>
    <w:p>
      <w:pPr>
        <w:pStyle w:val="5"/>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color w:val="auto"/>
          <w:sz w:val="32"/>
          <w:szCs w:val="36"/>
          <w:highlight w:val="none"/>
          <w:shd w:val="clear" w:color="auto" w:fill="auto"/>
        </w:rPr>
      </w:pPr>
      <w:bookmarkStart w:id="48" w:name="_Toc3709"/>
      <w:r>
        <w:rPr>
          <w:rFonts w:hint="eastAsia" w:ascii="楷体" w:hAnsi="楷体" w:eastAsia="楷体" w:cs="楷体"/>
          <w:b w:val="0"/>
          <w:bCs/>
          <w:color w:val="auto"/>
          <w:sz w:val="32"/>
          <w:szCs w:val="36"/>
          <w:highlight w:val="none"/>
          <w:shd w:val="clear" w:color="auto" w:fill="auto"/>
          <w:lang w:eastAsia="zh-CN"/>
        </w:rPr>
        <w:t>第八节</w:t>
      </w:r>
      <w:r>
        <w:rPr>
          <w:rFonts w:hint="eastAsia" w:ascii="楷体" w:hAnsi="楷体" w:eastAsia="楷体" w:cs="楷体"/>
          <w:b w:val="0"/>
          <w:bCs/>
          <w:color w:val="auto"/>
          <w:sz w:val="32"/>
          <w:szCs w:val="36"/>
          <w:highlight w:val="none"/>
          <w:shd w:val="clear" w:color="auto" w:fill="auto"/>
          <w:lang w:val="en-US" w:eastAsia="zh-CN"/>
        </w:rPr>
        <w:t xml:space="preserve">  </w:t>
      </w:r>
      <w:r>
        <w:rPr>
          <w:rFonts w:hint="eastAsia" w:ascii="楷体" w:hAnsi="楷体" w:eastAsia="楷体" w:cs="楷体"/>
          <w:b w:val="0"/>
          <w:bCs/>
          <w:color w:val="auto"/>
          <w:sz w:val="32"/>
          <w:szCs w:val="36"/>
          <w:highlight w:val="none"/>
          <w:shd w:val="clear" w:color="auto" w:fill="auto"/>
        </w:rPr>
        <w:t>夯实市场监管的基础支撑体系</w:t>
      </w:r>
      <w:bookmarkEnd w:id="48"/>
    </w:p>
    <w:p>
      <w:pPr>
        <w:pStyle w:val="3"/>
        <w:keepNext w:val="0"/>
        <w:keepLines w:val="0"/>
        <w:pageBreakBefore w:val="0"/>
        <w:widowControl w:val="0"/>
        <w:kinsoku/>
        <w:wordWrap w:val="0"/>
        <w:overflowPunct/>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val="0"/>
          <w:color w:val="auto"/>
          <w:kern w:val="0"/>
          <w:highlight w:val="none"/>
          <w:shd w:val="clear" w:color="auto" w:fill="auto"/>
          <w:lang w:val="en-US" w:eastAsia="zh-CN"/>
        </w:rPr>
      </w:pPr>
      <w:r>
        <w:rPr>
          <w:rFonts w:hint="eastAsia" w:ascii="仿宋" w:hAnsi="仿宋" w:eastAsia="仿宋" w:cs="仿宋"/>
          <w:b w:val="0"/>
          <w:bCs w:val="0"/>
          <w:color w:val="auto"/>
          <w:kern w:val="0"/>
          <w:highlight w:val="none"/>
          <w:shd w:val="clear" w:color="auto" w:fill="auto"/>
        </w:rPr>
        <w:t>加强人才技术支撑。树立人才工作新观念，鼓励引进与培养并举，坚持学历教育、岗位培训、继续教育三结合，持续做好常态化培训，</w:t>
      </w:r>
      <w:r>
        <w:rPr>
          <w:rFonts w:hint="eastAsia" w:ascii="仿宋" w:hAnsi="仿宋" w:eastAsia="仿宋" w:cs="仿宋"/>
          <w:b w:val="0"/>
          <w:bCs w:val="0"/>
          <w:color w:val="auto"/>
          <w:kern w:val="0"/>
          <w:highlight w:val="none"/>
          <w:shd w:val="clear" w:color="auto" w:fill="auto"/>
          <w:lang w:eastAsia="zh-CN"/>
        </w:rPr>
        <w:t>充分发挥</w:t>
      </w:r>
      <w:r>
        <w:rPr>
          <w:rFonts w:hint="eastAsia" w:ascii="仿宋" w:hAnsi="仿宋" w:eastAsia="仿宋" w:cs="仿宋"/>
          <w:b w:val="0"/>
          <w:bCs w:val="0"/>
          <w:color w:val="auto"/>
          <w:kern w:val="0"/>
          <w:highlight w:val="none"/>
          <w:shd w:val="clear" w:color="auto" w:fill="auto"/>
        </w:rPr>
        <w:t>“每周一课”作用，深入打造市场监管执法“千人铁军”，加快职业化专业化检查员队伍建设。进一步完善容错纠错机制，为敢担当、能干事的干部负责。加强技术能力建设投入，鼓励技术人员参与、主持重大研究项目，为高质量发展重点领域科研攻关提供支持。</w:t>
      </w:r>
      <w:r>
        <w:rPr>
          <w:rFonts w:hint="eastAsia" w:ascii="仿宋" w:hAnsi="仿宋" w:eastAsia="仿宋" w:cs="仿宋"/>
          <w:b w:val="0"/>
          <w:bCs w:val="0"/>
          <w:color w:val="auto"/>
          <w:kern w:val="0"/>
          <w:highlight w:val="none"/>
          <w:shd w:val="clear" w:color="auto" w:fill="auto"/>
          <w:lang w:val="en-US" w:eastAsia="zh-CN"/>
        </w:rPr>
        <w:t xml:space="preserve"> </w:t>
      </w:r>
    </w:p>
    <w:p>
      <w:pPr>
        <w:pStyle w:val="3"/>
        <w:keepNext w:val="0"/>
        <w:keepLines w:val="0"/>
        <w:pageBreakBefore w:val="0"/>
        <w:widowControl w:val="0"/>
        <w:kinsoku/>
        <w:wordWrap w:val="0"/>
        <w:overflowPunct/>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val="0"/>
          <w:color w:val="auto"/>
          <w:kern w:val="0"/>
          <w:highlight w:val="none"/>
          <w:shd w:val="clear" w:color="auto" w:fill="auto"/>
        </w:rPr>
      </w:pPr>
      <w:r>
        <w:rPr>
          <w:rFonts w:hint="eastAsia" w:ascii="仿宋" w:hAnsi="仿宋" w:eastAsia="仿宋" w:cs="仿宋"/>
          <w:b w:val="0"/>
          <w:bCs w:val="0"/>
          <w:color w:val="auto"/>
          <w:kern w:val="0"/>
          <w:highlight w:val="none"/>
          <w:shd w:val="clear" w:color="auto" w:fill="auto"/>
        </w:rPr>
        <w:t>加强基层规范化建设。理顺市场监管各层级关系，合理划分市场监管层级事权，优化事权层级配置，优化市场监管基层组织职能</w:t>
      </w:r>
      <w:r>
        <w:rPr>
          <w:rFonts w:hint="eastAsia" w:ascii="仿宋" w:hAnsi="仿宋" w:eastAsia="仿宋" w:cs="仿宋"/>
          <w:b w:val="0"/>
          <w:bCs w:val="0"/>
          <w:color w:val="auto"/>
          <w:kern w:val="0"/>
          <w:highlight w:val="none"/>
          <w:shd w:val="clear" w:color="auto" w:fill="auto"/>
          <w:lang w:eastAsia="zh-CN"/>
        </w:rPr>
        <w:t>，</w:t>
      </w:r>
      <w:r>
        <w:rPr>
          <w:rFonts w:hint="eastAsia" w:ascii="仿宋" w:hAnsi="仿宋" w:eastAsia="仿宋" w:cs="仿宋"/>
          <w:b w:val="0"/>
          <w:bCs w:val="0"/>
          <w:color w:val="auto"/>
          <w:kern w:val="0"/>
          <w:highlight w:val="none"/>
          <w:shd w:val="clear" w:color="auto" w:fill="auto"/>
        </w:rPr>
        <w:t>形成有利于发挥各层级履职优势的事权体系。稳定市场监管综合执法队伍，探索建立执法办案人员激励制度，提高执法队伍专业化人才配备</w:t>
      </w:r>
      <w:r>
        <w:rPr>
          <w:rFonts w:hint="eastAsia" w:ascii="仿宋" w:hAnsi="仿宋" w:eastAsia="仿宋" w:cs="仿宋"/>
          <w:b w:val="0"/>
          <w:bCs w:val="0"/>
          <w:color w:val="auto"/>
          <w:kern w:val="0"/>
          <w:highlight w:val="none"/>
          <w:shd w:val="clear" w:color="auto" w:fill="auto"/>
          <w:lang w:eastAsia="zh-CN"/>
        </w:rPr>
        <w:t>整体水平</w:t>
      </w:r>
      <w:r>
        <w:rPr>
          <w:rFonts w:hint="eastAsia" w:ascii="仿宋" w:hAnsi="仿宋" w:eastAsia="仿宋" w:cs="仿宋"/>
          <w:b w:val="0"/>
          <w:bCs w:val="0"/>
          <w:color w:val="auto"/>
          <w:kern w:val="0"/>
          <w:highlight w:val="none"/>
          <w:shd w:val="clear" w:color="auto" w:fill="auto"/>
        </w:rPr>
        <w:t>。</w:t>
      </w:r>
      <w:r>
        <w:rPr>
          <w:rFonts w:hint="eastAsia" w:ascii="仿宋" w:hAnsi="仿宋" w:eastAsia="仿宋" w:cs="仿宋"/>
          <w:b w:val="0"/>
          <w:bCs w:val="0"/>
          <w:color w:val="auto"/>
          <w:kern w:val="0"/>
          <w:highlight w:val="none"/>
          <w:shd w:val="clear" w:color="auto" w:fill="auto"/>
          <w:lang w:eastAsia="zh-CN"/>
        </w:rPr>
        <w:t>全面</w:t>
      </w:r>
      <w:r>
        <w:rPr>
          <w:rFonts w:hint="eastAsia" w:ascii="仿宋" w:hAnsi="仿宋" w:eastAsia="仿宋" w:cs="仿宋"/>
          <w:b w:val="0"/>
          <w:bCs w:val="0"/>
          <w:color w:val="auto"/>
          <w:kern w:val="0"/>
          <w:highlight w:val="none"/>
          <w:shd w:val="clear" w:color="auto" w:fill="auto"/>
        </w:rPr>
        <w:t>开展基层市场监管所标准化、规范化建设。</w:t>
      </w:r>
      <w:bookmarkEnd w:id="34"/>
      <w:bookmarkEnd w:id="35"/>
      <w:bookmarkEnd w:id="36"/>
      <w:bookmarkEnd w:id="37"/>
      <w:bookmarkEnd w:id="38"/>
      <w:bookmarkEnd w:id="39"/>
      <w:bookmarkEnd w:id="40"/>
      <w:bookmarkStart w:id="49" w:name="_Hlk58141150"/>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hd w:val="clear" w:color="auto" w:fill="auto"/>
                <w:vertAlign w:val="baseline"/>
                <w:lang w:val="en-US" w:eastAsia="zh-CN"/>
              </w:rPr>
            </w:pPr>
            <w:r>
              <w:rPr>
                <w:rFonts w:hint="eastAsia" w:ascii="黑体" w:hAnsi="黑体" w:eastAsia="黑体" w:cs="黑体"/>
                <w:b w:val="0"/>
                <w:bCs w:val="0"/>
                <w:color w:val="auto"/>
                <w:sz w:val="32"/>
                <w:szCs w:val="32"/>
              </w:rPr>
              <w:t>专栏</w:t>
            </w:r>
            <w:r>
              <w:rPr>
                <w:rFonts w:hint="eastAsia" w:ascii="黑体" w:hAnsi="黑体" w:eastAsia="黑体" w:cs="黑体"/>
                <w:b w:val="0"/>
                <w:bCs w:val="0"/>
                <w:color w:val="auto"/>
                <w:sz w:val="32"/>
                <w:szCs w:val="32"/>
                <w:lang w:val="en-US" w:eastAsia="zh-CN"/>
              </w:rPr>
              <w:t xml:space="preserve">7  </w:t>
            </w:r>
            <w:r>
              <w:rPr>
                <w:rFonts w:hint="eastAsia" w:ascii="黑体" w:hAnsi="黑体" w:eastAsia="黑体" w:cs="黑体"/>
                <w:b w:val="0"/>
                <w:bCs w:val="0"/>
                <w:color w:val="auto"/>
                <w:sz w:val="32"/>
                <w:szCs w:val="32"/>
              </w:rPr>
              <w:t>基层监管能力提升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auto"/>
                <w:shd w:val="clear" w:color="auto" w:fill="auto"/>
                <w:vertAlign w:val="baseline"/>
                <w:lang w:val="en-US" w:eastAsia="zh-CN"/>
              </w:rPr>
            </w:pPr>
            <w:r>
              <w:rPr>
                <w:rFonts w:hint="eastAsia" w:ascii="楷体" w:hAnsi="楷体" w:eastAsia="楷体" w:cs="楷体"/>
                <w:b w:val="0"/>
                <w:bCs w:val="0"/>
                <w:color w:val="auto"/>
                <w:sz w:val="28"/>
                <w:szCs w:val="28"/>
              </w:rPr>
              <w:t>内蒙古自治区基层市场监管所标准化建设项目。</w:t>
            </w:r>
            <w:r>
              <w:rPr>
                <w:rFonts w:hint="eastAsia" w:ascii="仿宋" w:hAnsi="仿宋" w:eastAsia="仿宋" w:cs="仿宋"/>
                <w:b w:val="0"/>
                <w:bCs w:val="0"/>
                <w:color w:val="auto"/>
                <w:sz w:val="28"/>
                <w:szCs w:val="28"/>
              </w:rPr>
              <w:t>制</w:t>
            </w:r>
            <w:r>
              <w:rPr>
                <w:rFonts w:hint="eastAsia" w:ascii="仿宋" w:hAnsi="仿宋" w:eastAsia="仿宋" w:cs="仿宋"/>
                <w:color w:val="auto"/>
                <w:sz w:val="28"/>
                <w:szCs w:val="28"/>
              </w:rPr>
              <w:t>定内蒙古自治区基层市场监管所标准化建设标准并出台实施方案，包括外观标识标准化、</w:t>
            </w:r>
            <w:r>
              <w:rPr>
                <w:rFonts w:hint="eastAsia" w:ascii="仿宋" w:hAnsi="仿宋" w:eastAsia="仿宋" w:cs="仿宋"/>
                <w:color w:val="auto"/>
                <w:sz w:val="28"/>
                <w:szCs w:val="28"/>
                <w:lang w:eastAsia="zh-CN"/>
              </w:rPr>
              <w:t>基础保障</w:t>
            </w:r>
            <w:r>
              <w:rPr>
                <w:rFonts w:hint="eastAsia" w:ascii="仿宋" w:hAnsi="仿宋" w:eastAsia="仿宋" w:cs="仿宋"/>
                <w:color w:val="auto"/>
                <w:sz w:val="28"/>
                <w:szCs w:val="28"/>
              </w:rPr>
              <w:t>标准化、</w:t>
            </w:r>
            <w:r>
              <w:rPr>
                <w:rFonts w:hint="eastAsia" w:ascii="仿宋" w:hAnsi="仿宋" w:eastAsia="仿宋" w:cs="仿宋"/>
                <w:color w:val="auto"/>
                <w:sz w:val="28"/>
                <w:szCs w:val="28"/>
                <w:lang w:eastAsia="zh-CN"/>
              </w:rPr>
              <w:t>窗口</w:t>
            </w:r>
            <w:r>
              <w:rPr>
                <w:rFonts w:hint="eastAsia" w:ascii="仿宋" w:hAnsi="仿宋" w:eastAsia="仿宋" w:cs="仿宋"/>
                <w:color w:val="auto"/>
                <w:sz w:val="28"/>
                <w:szCs w:val="28"/>
              </w:rPr>
              <w:t>服务标准化</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个方面。外观标识标准化包括房屋外观、车辆标识、功能区门牌统一；</w:t>
            </w:r>
            <w:r>
              <w:rPr>
                <w:rFonts w:hint="eastAsia" w:ascii="仿宋" w:hAnsi="仿宋" w:eastAsia="仿宋" w:cs="仿宋"/>
                <w:color w:val="auto"/>
                <w:sz w:val="28"/>
                <w:szCs w:val="28"/>
                <w:lang w:eastAsia="zh-CN"/>
              </w:rPr>
              <w:t>基础保障</w:t>
            </w:r>
            <w:r>
              <w:rPr>
                <w:rFonts w:hint="eastAsia" w:ascii="仿宋" w:hAnsi="仿宋" w:eastAsia="仿宋" w:cs="仿宋"/>
                <w:color w:val="auto"/>
                <w:sz w:val="28"/>
                <w:szCs w:val="28"/>
              </w:rPr>
              <w:t>标准化包括办公用房、业务及辅助用房配备，执法服装、执法车辆、专业执法装备配备；</w:t>
            </w:r>
            <w:r>
              <w:rPr>
                <w:rFonts w:hint="eastAsia" w:ascii="仿宋" w:hAnsi="仿宋" w:eastAsia="仿宋" w:cs="仿宋"/>
                <w:color w:val="auto"/>
                <w:sz w:val="28"/>
                <w:szCs w:val="28"/>
                <w:lang w:eastAsia="zh-CN"/>
              </w:rPr>
              <w:t>窗口</w:t>
            </w:r>
            <w:r>
              <w:rPr>
                <w:rFonts w:hint="eastAsia" w:ascii="仿宋" w:hAnsi="仿宋" w:eastAsia="仿宋" w:cs="仿宋"/>
                <w:color w:val="auto"/>
                <w:sz w:val="28"/>
                <w:szCs w:val="28"/>
              </w:rPr>
              <w:t>服务标准化包括制定办事流程标准，提高服务效率。项目建设期为</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年，分批向全区推开。</w:t>
            </w:r>
            <w:r>
              <w:rPr>
                <w:rFonts w:hint="eastAsia" w:ascii="仿宋" w:hAnsi="仿宋" w:eastAsia="仿宋" w:cs="仿宋"/>
                <w:color w:val="auto"/>
                <w:sz w:val="28"/>
                <w:szCs w:val="28"/>
                <w:lang w:eastAsia="zh-CN"/>
              </w:rPr>
              <w:t>拟</w:t>
            </w:r>
            <w:r>
              <w:rPr>
                <w:rFonts w:hint="eastAsia" w:ascii="仿宋" w:hAnsi="仿宋" w:eastAsia="仿宋" w:cs="仿宋"/>
                <w:color w:val="auto"/>
                <w:sz w:val="28"/>
                <w:szCs w:val="28"/>
              </w:rPr>
              <w:t>由自治区和盟市、旗县（市、区）三级财政按照比例分级配套资金的形式进行投入。</w:t>
            </w:r>
          </w:p>
        </w:tc>
      </w:tr>
    </w:tbl>
    <w:p>
      <w:pPr>
        <w:pStyle w:val="3"/>
        <w:keepNext w:val="0"/>
        <w:keepLines w:val="0"/>
        <w:pageBreakBefore w:val="0"/>
        <w:widowControl w:val="0"/>
        <w:kinsoku/>
        <w:wordWrap w:val="0"/>
        <w:overflowPunct/>
        <w:topLinePunct/>
        <w:autoSpaceDE/>
        <w:autoSpaceDN/>
        <w:bidi w:val="0"/>
        <w:adjustRightInd/>
        <w:snapToGrid/>
        <w:spacing w:before="157" w:beforeLines="50"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shd w:val="clear" w:color="auto" w:fill="auto"/>
        </w:rPr>
      </w:pPr>
      <w:r>
        <w:rPr>
          <w:rFonts w:hint="eastAsia" w:ascii="仿宋" w:hAnsi="仿宋" w:eastAsia="仿宋" w:cs="仿宋"/>
          <w:b w:val="0"/>
          <w:bCs w:val="0"/>
          <w:color w:val="auto"/>
          <w:kern w:val="0"/>
          <w:sz w:val="32"/>
          <w:szCs w:val="32"/>
          <w:highlight w:val="none"/>
          <w:shd w:val="clear" w:color="auto" w:fill="auto"/>
        </w:rPr>
        <w:t>加强智慧监管。建设全区统一的市场监管信息化体系，实现各类监管数据集中管理，形成“大平台支撑、大数据慧治、大系统整合、大服务惠民、大监管共治”的市场监管信息化发展新格局。加快推进“1613”重点任务，</w:t>
      </w:r>
      <w:r>
        <w:rPr>
          <w:rFonts w:hint="eastAsia" w:ascii="仿宋" w:hAnsi="仿宋" w:eastAsia="仿宋" w:cs="仿宋"/>
          <w:b w:val="0"/>
          <w:bCs w:val="0"/>
          <w:color w:val="auto"/>
          <w:kern w:val="0"/>
          <w:sz w:val="32"/>
          <w:szCs w:val="32"/>
          <w:highlight w:val="none"/>
          <w:shd w:val="clear" w:color="auto" w:fill="auto"/>
          <w:lang w:eastAsia="zh-CN"/>
        </w:rPr>
        <w:t>即</w:t>
      </w:r>
      <w:r>
        <w:rPr>
          <w:rFonts w:hint="eastAsia" w:ascii="仿宋" w:hAnsi="仿宋" w:eastAsia="仿宋" w:cs="仿宋"/>
          <w:b w:val="0"/>
          <w:bCs w:val="0"/>
          <w:color w:val="auto"/>
          <w:kern w:val="0"/>
          <w:sz w:val="32"/>
          <w:szCs w:val="32"/>
          <w:highlight w:val="none"/>
          <w:shd w:val="clear" w:color="auto" w:fill="auto"/>
        </w:rPr>
        <w:t>建设“一个大数据中心”</w:t>
      </w:r>
      <w:r>
        <w:rPr>
          <w:rFonts w:hint="eastAsia" w:ascii="仿宋" w:hAnsi="仿宋" w:eastAsia="仿宋" w:cs="仿宋"/>
          <w:b w:val="0"/>
          <w:bCs w:val="0"/>
          <w:color w:val="auto"/>
          <w:kern w:val="0"/>
          <w:sz w:val="32"/>
          <w:szCs w:val="32"/>
          <w:highlight w:val="none"/>
          <w:shd w:val="clear" w:color="auto" w:fill="auto"/>
          <w:lang w:eastAsia="zh-CN"/>
        </w:rPr>
        <w:t>（</w:t>
      </w:r>
      <w:r>
        <w:rPr>
          <w:rFonts w:hint="eastAsia" w:ascii="仿宋" w:hAnsi="仿宋" w:eastAsia="仿宋" w:cs="仿宋"/>
          <w:b w:val="0"/>
          <w:bCs w:val="0"/>
          <w:color w:val="auto"/>
          <w:sz w:val="32"/>
          <w:szCs w:val="32"/>
          <w:highlight w:val="none"/>
          <w:shd w:val="clear" w:color="auto" w:fill="auto"/>
        </w:rPr>
        <w:t>内蒙古市场监管大数据中心</w:t>
      </w:r>
      <w:r>
        <w:rPr>
          <w:rFonts w:hint="eastAsia" w:ascii="仿宋" w:hAnsi="仿宋" w:eastAsia="仿宋" w:cs="仿宋"/>
          <w:b w:val="0"/>
          <w:bCs w:val="0"/>
          <w:color w:val="auto"/>
          <w:sz w:val="32"/>
          <w:szCs w:val="32"/>
          <w:highlight w:val="none"/>
          <w:shd w:val="clear" w:color="auto" w:fill="auto"/>
          <w:lang w:eastAsia="zh-CN"/>
        </w:rPr>
        <w:t>）</w:t>
      </w:r>
      <w:r>
        <w:rPr>
          <w:rFonts w:hint="eastAsia" w:ascii="仿宋" w:hAnsi="仿宋" w:eastAsia="仿宋" w:cs="仿宋"/>
          <w:b w:val="0"/>
          <w:bCs w:val="0"/>
          <w:color w:val="auto"/>
          <w:sz w:val="32"/>
          <w:szCs w:val="32"/>
          <w:highlight w:val="none"/>
          <w:shd w:val="clear" w:color="auto" w:fill="auto"/>
        </w:rPr>
        <w:t>；</w:t>
      </w:r>
      <w:r>
        <w:rPr>
          <w:rFonts w:hint="eastAsia" w:ascii="仿宋" w:hAnsi="仿宋" w:eastAsia="仿宋" w:cs="仿宋"/>
          <w:b w:val="0"/>
          <w:bCs w:val="0"/>
          <w:color w:val="auto"/>
          <w:kern w:val="0"/>
          <w:sz w:val="32"/>
          <w:szCs w:val="32"/>
          <w:highlight w:val="none"/>
          <w:shd w:val="clear" w:color="auto" w:fill="auto"/>
        </w:rPr>
        <w:t>“六大业务平台”</w:t>
      </w:r>
      <w:r>
        <w:rPr>
          <w:rFonts w:hint="eastAsia" w:ascii="仿宋" w:hAnsi="仿宋" w:eastAsia="仿宋" w:cs="仿宋"/>
          <w:b w:val="0"/>
          <w:bCs w:val="0"/>
          <w:color w:val="auto"/>
          <w:kern w:val="0"/>
          <w:sz w:val="32"/>
          <w:szCs w:val="32"/>
          <w:highlight w:val="none"/>
          <w:shd w:val="clear" w:color="auto" w:fill="auto"/>
          <w:lang w:eastAsia="zh-CN"/>
        </w:rPr>
        <w:t>（“</w:t>
      </w:r>
      <w:r>
        <w:rPr>
          <w:rFonts w:hint="eastAsia" w:ascii="仿宋" w:hAnsi="仿宋" w:eastAsia="仿宋" w:cs="仿宋"/>
          <w:b w:val="0"/>
          <w:bCs w:val="0"/>
          <w:color w:val="auto"/>
          <w:kern w:val="0"/>
          <w:sz w:val="32"/>
          <w:szCs w:val="32"/>
          <w:highlight w:val="none"/>
          <w:shd w:val="clear" w:color="auto" w:fill="auto"/>
        </w:rPr>
        <w:t>一网通办”综合政务服务平台、市场监管及风险管控平台、执法办案平台、教育培训平台、消费维权平台、质量</w:t>
      </w:r>
      <w:r>
        <w:rPr>
          <w:rFonts w:hint="eastAsia" w:ascii="仿宋" w:hAnsi="仿宋" w:eastAsia="仿宋" w:cs="仿宋"/>
          <w:b w:val="0"/>
          <w:bCs w:val="0"/>
          <w:color w:val="auto"/>
          <w:kern w:val="0"/>
          <w:sz w:val="32"/>
          <w:szCs w:val="32"/>
          <w:highlight w:val="none"/>
          <w:shd w:val="clear" w:color="auto" w:fill="auto"/>
          <w:lang w:eastAsia="zh-CN"/>
        </w:rPr>
        <w:t>服务</w:t>
      </w:r>
      <w:r>
        <w:rPr>
          <w:rFonts w:hint="eastAsia" w:ascii="仿宋" w:hAnsi="仿宋" w:eastAsia="仿宋" w:cs="仿宋"/>
          <w:b w:val="0"/>
          <w:bCs w:val="0"/>
          <w:color w:val="auto"/>
          <w:kern w:val="0"/>
          <w:sz w:val="32"/>
          <w:szCs w:val="32"/>
          <w:highlight w:val="none"/>
          <w:shd w:val="clear" w:color="auto" w:fill="auto"/>
        </w:rPr>
        <w:t>平台</w:t>
      </w:r>
      <w:r>
        <w:rPr>
          <w:rFonts w:hint="eastAsia" w:ascii="仿宋" w:hAnsi="仿宋" w:eastAsia="仿宋" w:cs="仿宋"/>
          <w:b w:val="0"/>
          <w:bCs w:val="0"/>
          <w:color w:val="auto"/>
          <w:kern w:val="0"/>
          <w:sz w:val="32"/>
          <w:szCs w:val="32"/>
          <w:highlight w:val="none"/>
          <w:shd w:val="clear" w:color="auto" w:fill="auto"/>
          <w:lang w:eastAsia="zh-CN"/>
        </w:rPr>
        <w:t>）</w:t>
      </w:r>
      <w:r>
        <w:rPr>
          <w:rFonts w:hint="eastAsia" w:ascii="仿宋" w:hAnsi="仿宋" w:eastAsia="仿宋" w:cs="仿宋"/>
          <w:b w:val="0"/>
          <w:bCs w:val="0"/>
          <w:color w:val="auto"/>
          <w:kern w:val="0"/>
          <w:sz w:val="32"/>
          <w:szCs w:val="32"/>
          <w:highlight w:val="none"/>
          <w:shd w:val="clear" w:color="auto" w:fill="auto"/>
        </w:rPr>
        <w:t>；“一个基础设施支撑”</w:t>
      </w:r>
      <w:r>
        <w:rPr>
          <w:rFonts w:hint="eastAsia" w:ascii="仿宋" w:hAnsi="仿宋" w:eastAsia="仿宋" w:cs="仿宋"/>
          <w:b w:val="0"/>
          <w:bCs w:val="0"/>
          <w:color w:val="auto"/>
          <w:kern w:val="0"/>
          <w:sz w:val="32"/>
          <w:szCs w:val="32"/>
          <w:highlight w:val="none"/>
          <w:shd w:val="clear" w:color="auto" w:fill="auto"/>
          <w:lang w:eastAsia="zh-CN"/>
        </w:rPr>
        <w:t>（</w:t>
      </w:r>
      <w:bookmarkStart w:id="50" w:name="_Toc21399"/>
      <w:bookmarkStart w:id="51" w:name="_Toc12113"/>
      <w:bookmarkStart w:id="52" w:name="_Toc30676"/>
      <w:bookmarkStart w:id="53" w:name="_Toc29510"/>
      <w:bookmarkStart w:id="54" w:name="_Toc26997"/>
      <w:r>
        <w:rPr>
          <w:rFonts w:hint="eastAsia" w:ascii="仿宋" w:hAnsi="仿宋" w:eastAsia="仿宋" w:cs="仿宋"/>
          <w:b w:val="0"/>
          <w:bCs w:val="0"/>
          <w:color w:val="auto"/>
          <w:kern w:val="0"/>
          <w:sz w:val="32"/>
          <w:szCs w:val="32"/>
          <w:highlight w:val="none"/>
          <w:shd w:val="clear" w:color="auto" w:fill="auto"/>
        </w:rPr>
        <w:t>包括</w:t>
      </w:r>
      <w:r>
        <w:rPr>
          <w:rFonts w:hint="eastAsia" w:ascii="仿宋" w:hAnsi="仿宋" w:eastAsia="仿宋" w:cs="仿宋"/>
          <w:b w:val="0"/>
          <w:bCs w:val="0"/>
          <w:color w:val="auto"/>
          <w:sz w:val="32"/>
          <w:szCs w:val="32"/>
          <w:highlight w:val="none"/>
          <w:shd w:val="clear" w:color="auto" w:fill="auto"/>
        </w:rPr>
        <w:t>网络资源、计算存储资源、备份资源等基础环境资源在内的保障有力的一体化基础设施</w:t>
      </w:r>
      <w:bookmarkEnd w:id="50"/>
      <w:bookmarkEnd w:id="51"/>
      <w:bookmarkEnd w:id="52"/>
      <w:bookmarkEnd w:id="53"/>
      <w:bookmarkEnd w:id="54"/>
      <w:r>
        <w:rPr>
          <w:rFonts w:hint="eastAsia" w:ascii="仿宋" w:hAnsi="仿宋" w:eastAsia="仿宋" w:cs="仿宋"/>
          <w:b w:val="0"/>
          <w:bCs w:val="0"/>
          <w:color w:val="auto"/>
          <w:sz w:val="32"/>
          <w:szCs w:val="32"/>
          <w:highlight w:val="none"/>
          <w:shd w:val="clear" w:color="auto" w:fill="auto"/>
          <w:lang w:eastAsia="zh-CN"/>
        </w:rPr>
        <w:t>）</w:t>
      </w:r>
      <w:r>
        <w:rPr>
          <w:rFonts w:hint="eastAsia" w:ascii="仿宋" w:hAnsi="仿宋" w:eastAsia="仿宋" w:cs="仿宋"/>
          <w:b w:val="0"/>
          <w:bCs w:val="0"/>
          <w:color w:val="auto"/>
          <w:sz w:val="32"/>
          <w:szCs w:val="32"/>
          <w:highlight w:val="none"/>
          <w:shd w:val="clear" w:color="auto" w:fill="auto"/>
        </w:rPr>
        <w:t>；</w:t>
      </w:r>
      <w:r>
        <w:rPr>
          <w:rFonts w:hint="eastAsia" w:ascii="仿宋" w:hAnsi="仿宋" w:eastAsia="仿宋" w:cs="仿宋"/>
          <w:b w:val="0"/>
          <w:bCs w:val="0"/>
          <w:color w:val="auto"/>
          <w:kern w:val="0"/>
          <w:sz w:val="32"/>
          <w:szCs w:val="32"/>
          <w:highlight w:val="none"/>
          <w:shd w:val="clear" w:color="auto" w:fill="auto"/>
        </w:rPr>
        <w:t>“三大保障体系”</w:t>
      </w:r>
      <w:r>
        <w:rPr>
          <w:rFonts w:hint="eastAsia" w:ascii="仿宋" w:hAnsi="仿宋" w:eastAsia="仿宋" w:cs="仿宋"/>
          <w:b w:val="0"/>
          <w:bCs w:val="0"/>
          <w:color w:val="auto"/>
          <w:kern w:val="0"/>
          <w:sz w:val="32"/>
          <w:szCs w:val="32"/>
          <w:highlight w:val="none"/>
          <w:shd w:val="clear" w:color="auto" w:fill="auto"/>
          <w:lang w:eastAsia="zh-CN"/>
        </w:rPr>
        <w:t>（</w:t>
      </w:r>
      <w:r>
        <w:rPr>
          <w:rFonts w:hint="eastAsia" w:ascii="仿宋" w:hAnsi="仿宋" w:eastAsia="仿宋" w:cs="仿宋"/>
          <w:b w:val="0"/>
          <w:bCs w:val="0"/>
          <w:color w:val="auto"/>
          <w:kern w:val="0"/>
          <w:sz w:val="32"/>
          <w:szCs w:val="32"/>
          <w:highlight w:val="none"/>
          <w:shd w:val="clear" w:color="auto" w:fill="auto"/>
        </w:rPr>
        <w:t>完善信息化标准规范体系、加强安全保障体系、强化运行维护体系</w:t>
      </w:r>
      <w:r>
        <w:rPr>
          <w:rFonts w:hint="eastAsia" w:ascii="仿宋" w:hAnsi="仿宋" w:eastAsia="仿宋" w:cs="仿宋"/>
          <w:b w:val="0"/>
          <w:bCs w:val="0"/>
          <w:color w:val="auto"/>
          <w:kern w:val="0"/>
          <w:sz w:val="32"/>
          <w:szCs w:val="32"/>
          <w:highlight w:val="none"/>
          <w:shd w:val="clear" w:color="auto" w:fill="auto"/>
          <w:lang w:eastAsia="zh-CN"/>
        </w:rPr>
        <w:t>）</w:t>
      </w:r>
      <w:r>
        <w:rPr>
          <w:rFonts w:hint="eastAsia" w:ascii="仿宋" w:hAnsi="仿宋" w:eastAsia="仿宋" w:cs="仿宋"/>
          <w:b w:val="0"/>
          <w:bCs w:val="0"/>
          <w:color w:val="auto"/>
          <w:kern w:val="0"/>
          <w:sz w:val="32"/>
          <w:szCs w:val="32"/>
          <w:highlight w:val="none"/>
          <w:shd w:val="clear" w:color="auto" w:fill="auto"/>
        </w:rPr>
        <w:t>。</w:t>
      </w:r>
      <w:r>
        <w:rPr>
          <w:rFonts w:hint="eastAsia" w:ascii="仿宋" w:hAnsi="仿宋" w:eastAsia="仿宋" w:cs="仿宋"/>
          <w:b w:val="0"/>
          <w:bCs w:val="0"/>
          <w:color w:val="auto"/>
          <w:sz w:val="32"/>
          <w:szCs w:val="32"/>
          <w:highlight w:val="none"/>
          <w:shd w:val="clear" w:color="auto" w:fill="auto"/>
        </w:rPr>
        <w:t>加快推进涵盖“小个专”党建在内的智慧党建平台建设。</w:t>
      </w:r>
    </w:p>
    <w:p>
      <w:pPr>
        <w:pStyle w:val="2"/>
        <w:rPr>
          <w:rFonts w:hint="eastAsia" w:ascii="仿宋" w:hAnsi="仿宋" w:eastAsia="仿宋" w:cs="仿宋"/>
          <w:b w:val="0"/>
          <w:bCs w:val="0"/>
          <w:color w:val="auto"/>
          <w:sz w:val="32"/>
          <w:szCs w:val="32"/>
          <w:highlight w:val="none"/>
          <w:shd w:val="clear" w:color="auto" w:fill="auto"/>
        </w:rPr>
      </w:pPr>
    </w:p>
    <w:p>
      <w:pPr>
        <w:pStyle w:val="3"/>
        <w:rPr>
          <w:rFonts w:hint="eastAsia" w:ascii="仿宋" w:hAnsi="仿宋" w:eastAsia="仿宋" w:cs="仿宋"/>
          <w:b w:val="0"/>
          <w:bCs w:val="0"/>
          <w:color w:val="auto"/>
          <w:sz w:val="32"/>
          <w:szCs w:val="32"/>
          <w:highlight w:val="none"/>
          <w:shd w:val="clear" w:color="auto" w:fill="auto"/>
        </w:rPr>
      </w:pPr>
    </w:p>
    <w:p>
      <w:pPr>
        <w:pStyle w:val="2"/>
        <w:rPr>
          <w:rFonts w:hint="eastAsia"/>
        </w:rPr>
      </w:pPr>
    </w:p>
    <w:p>
      <w:pPr>
        <w:pStyle w:val="2"/>
        <w:rPr>
          <w:rFonts w:hint="eastAsia" w:ascii="仿宋" w:hAnsi="仿宋" w:eastAsia="仿宋" w:cs="仿宋"/>
          <w:b w:val="0"/>
          <w:bCs w:val="0"/>
          <w:color w:val="auto"/>
          <w:sz w:val="32"/>
          <w:szCs w:val="32"/>
          <w:highlight w:val="none"/>
          <w:shd w:val="clear" w:color="auto" w:fill="auto"/>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rPr>
            </w:pPr>
            <w:r>
              <w:rPr>
                <w:rFonts w:hint="eastAsia" w:ascii="黑体" w:hAnsi="黑体" w:eastAsia="黑体" w:cs="黑体"/>
                <w:b w:val="0"/>
                <w:bCs w:val="0"/>
                <w:color w:val="000000"/>
                <w:sz w:val="32"/>
                <w:szCs w:val="32"/>
              </w:rPr>
              <w:t>专栏</w:t>
            </w:r>
            <w:r>
              <w:rPr>
                <w:rFonts w:hint="eastAsia" w:ascii="黑体" w:hAnsi="黑体" w:eastAsia="黑体" w:cs="黑体"/>
                <w:b w:val="0"/>
                <w:bCs w:val="0"/>
                <w:color w:val="000000"/>
                <w:sz w:val="32"/>
                <w:szCs w:val="32"/>
                <w:lang w:val="en-US" w:eastAsia="zh-CN"/>
              </w:rPr>
              <w:t xml:space="preserve">8  </w:t>
            </w:r>
            <w:r>
              <w:rPr>
                <w:rFonts w:hint="eastAsia" w:ascii="黑体" w:hAnsi="黑体" w:eastAsia="黑体" w:cs="黑体"/>
                <w:b w:val="0"/>
                <w:bCs w:val="0"/>
                <w:color w:val="000000"/>
                <w:sz w:val="32"/>
                <w:szCs w:val="32"/>
              </w:rPr>
              <w:t>智慧监管能力提升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color w:val="000000"/>
                <w:sz w:val="28"/>
                <w:szCs w:val="28"/>
              </w:rPr>
              <w:t>1.</w:t>
            </w:r>
            <w:r>
              <w:rPr>
                <w:rFonts w:hint="eastAsia" w:ascii="楷体" w:hAnsi="楷体" w:eastAsia="楷体" w:cs="楷体"/>
                <w:b w:val="0"/>
                <w:bCs w:val="0"/>
                <w:sz w:val="28"/>
                <w:szCs w:val="28"/>
              </w:rPr>
              <w:t>综合监管平台建设项目。</w:t>
            </w:r>
            <w:r>
              <w:rPr>
                <w:rFonts w:hint="eastAsia" w:ascii="仿宋" w:hAnsi="仿宋" w:eastAsia="仿宋" w:cs="仿宋"/>
                <w:b w:val="0"/>
                <w:bCs w:val="0"/>
                <w:sz w:val="28"/>
                <w:szCs w:val="28"/>
              </w:rPr>
              <w:t>综合政务服务平台</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涵盖自治区市场监管局政务服务业务，逐步形成统一的综合政务服务移动终端</w:t>
            </w:r>
            <w:r>
              <w:rPr>
                <w:rFonts w:hint="eastAsia" w:ascii="仿宋" w:hAnsi="仿宋" w:eastAsia="仿宋" w:cs="仿宋"/>
                <w:b w:val="0"/>
                <w:bCs w:val="0"/>
                <w:sz w:val="28"/>
                <w:szCs w:val="28"/>
                <w:lang w:val="en-US" w:eastAsia="zh-CN"/>
              </w:rPr>
              <w:t>APP</w:t>
            </w:r>
            <w:r>
              <w:rPr>
                <w:rFonts w:hint="eastAsia" w:ascii="仿宋" w:hAnsi="仿宋" w:eastAsia="仿宋" w:cs="仿宋"/>
                <w:b w:val="0"/>
                <w:bCs w:val="0"/>
                <w:sz w:val="28"/>
                <w:szCs w:val="28"/>
              </w:rPr>
              <w:t>、小程序，为企业和群众办事提供一站式服务</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市场监管及风险管控平台</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支撑食品、药品、特种设备、重点工业产品等重点品种安全监管，网络交易、广告、产品质量等重点领域的日常监管</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实现数据的采集、分析、研判、预警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执法办案平台</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承接各类线索，对市场监管领域违法案件进行案源、立案、办案、结案管理和智能执法辅助，支持实现移动办案和执法资源共享</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GB"/>
              </w:rPr>
              <w:t>教育培训平台</w:t>
            </w:r>
            <w:r>
              <w:rPr>
                <w:rFonts w:hint="eastAsia" w:ascii="仿宋" w:hAnsi="仿宋" w:eastAsia="仿宋" w:cs="仿宋"/>
                <w:b w:val="0"/>
                <w:bCs w:val="0"/>
                <w:sz w:val="28"/>
                <w:szCs w:val="28"/>
                <w:lang w:val="en-GB" w:eastAsia="zh-CN"/>
              </w:rPr>
              <w:t>：</w:t>
            </w:r>
            <w:r>
              <w:rPr>
                <w:rFonts w:hint="eastAsia" w:ascii="仿宋" w:hAnsi="仿宋" w:eastAsia="仿宋" w:cs="仿宋"/>
                <w:b w:val="0"/>
                <w:bCs w:val="0"/>
                <w:sz w:val="28"/>
                <w:szCs w:val="28"/>
                <w:lang w:val="en-GB"/>
              </w:rPr>
              <w:t>实现对市场监管人员的业务培训、考试，对企业相关人员和社会公众</w:t>
            </w:r>
            <w:r>
              <w:rPr>
                <w:rFonts w:hint="eastAsia" w:ascii="仿宋" w:hAnsi="仿宋" w:eastAsia="仿宋" w:cs="仿宋"/>
                <w:b w:val="0"/>
                <w:bCs w:val="0"/>
                <w:sz w:val="28"/>
                <w:szCs w:val="28"/>
                <w:lang w:val="en-GB" w:eastAsia="zh-CN"/>
              </w:rPr>
              <w:t>的</w:t>
            </w:r>
            <w:r>
              <w:rPr>
                <w:rFonts w:hint="eastAsia" w:ascii="仿宋" w:hAnsi="仿宋" w:eastAsia="仿宋" w:cs="仿宋"/>
                <w:b w:val="0"/>
                <w:bCs w:val="0"/>
                <w:sz w:val="28"/>
                <w:szCs w:val="28"/>
                <w:lang w:val="en-GB"/>
              </w:rPr>
              <w:t>普法、科普和专业知识培训教育</w:t>
            </w:r>
            <w:r>
              <w:rPr>
                <w:rFonts w:hint="eastAsia" w:ascii="仿宋" w:hAnsi="仿宋" w:eastAsia="仿宋" w:cs="仿宋"/>
                <w:b w:val="0"/>
                <w:bCs w:val="0"/>
                <w:sz w:val="28"/>
                <w:szCs w:val="28"/>
                <w:lang w:val="en-GB" w:eastAsia="zh-CN"/>
              </w:rPr>
              <w:t>；</w:t>
            </w:r>
            <w:r>
              <w:rPr>
                <w:rFonts w:hint="eastAsia" w:ascii="仿宋" w:hAnsi="仿宋" w:eastAsia="仿宋" w:cs="仿宋"/>
                <w:b w:val="0"/>
                <w:bCs w:val="0"/>
                <w:sz w:val="28"/>
                <w:szCs w:val="28"/>
              </w:rPr>
              <w:t>消费维权平台</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充分使用国家</w:t>
            </w:r>
            <w:r>
              <w:rPr>
                <w:rFonts w:hint="eastAsia" w:ascii="仿宋" w:hAnsi="仿宋" w:eastAsia="仿宋" w:cs="仿宋"/>
                <w:b w:val="0"/>
                <w:bCs w:val="0"/>
                <w:sz w:val="28"/>
                <w:szCs w:val="28"/>
                <w:lang w:eastAsia="zh-CN"/>
              </w:rPr>
              <w:t>市场监管</w:t>
            </w:r>
            <w:r>
              <w:rPr>
                <w:rFonts w:hint="eastAsia" w:ascii="仿宋" w:hAnsi="仿宋" w:eastAsia="仿宋" w:cs="仿宋"/>
                <w:b w:val="0"/>
                <w:bCs w:val="0"/>
                <w:sz w:val="28"/>
                <w:szCs w:val="28"/>
              </w:rPr>
              <w:t>总局12315平台，继续推动与12345服务热线平台互联互通，支撑消费者权益保护维权、知识产权援助、在线打假等系统，实现举报渠道的多元化、便利化和智能化</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质量发展平台</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通过平台获取市场主体高质量发展服务需求，个性化分析服务主体需求和服务内容，精准服务市场主体。</w:t>
            </w:r>
          </w:p>
          <w:p>
            <w:pPr>
              <w:keepNext w:val="0"/>
              <w:keepLines w:val="0"/>
              <w:pageBreakBefore w:val="0"/>
              <w:widowControl w:val="0"/>
              <w:kinsoku/>
              <w:wordWrap/>
              <w:overflowPunct/>
              <w:topLinePunct w:val="0"/>
              <w:autoSpaceDE/>
              <w:autoSpaceDN/>
              <w:bidi w:val="0"/>
              <w:adjustRightInd/>
              <w:snapToGrid/>
              <w:spacing w:line="400" w:lineRule="exact"/>
              <w:ind w:firstLine="618" w:firstLineChars="221"/>
              <w:textAlignment w:val="auto"/>
              <w:rPr>
                <w:rFonts w:hint="eastAsia"/>
                <w:vertAlign w:val="baseline"/>
              </w:rPr>
            </w:pPr>
            <w:r>
              <w:rPr>
                <w:rFonts w:hint="eastAsia" w:ascii="楷体" w:hAnsi="楷体" w:eastAsia="楷体" w:cs="楷体"/>
                <w:b w:val="0"/>
                <w:bCs w:val="0"/>
                <w:color w:val="000000"/>
                <w:sz w:val="28"/>
                <w:szCs w:val="28"/>
              </w:rPr>
              <w:t>2.信息化体系建设。</w:t>
            </w:r>
            <w:r>
              <w:rPr>
                <w:rFonts w:hint="eastAsia" w:ascii="仿宋" w:hAnsi="仿宋" w:eastAsia="仿宋" w:cs="仿宋"/>
                <w:b w:val="0"/>
                <w:bCs w:val="0"/>
                <w:sz w:val="28"/>
                <w:szCs w:val="28"/>
              </w:rPr>
              <w:t>标准规范体系设计</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优先采用国家、行业已有的信用标准规范，未建立的参照国家、行业、地方标准制定新的标准或在原有基础上进行修改</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安全保障体系设计</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实现安全技术、安全管理、安全运营三方面的安全防护</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运维管理体系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形成配合合理、稳定可持续的运</w:t>
            </w:r>
            <w:r>
              <w:rPr>
                <w:rFonts w:hint="eastAsia" w:ascii="仿宋" w:hAnsi="仿宋" w:eastAsia="仿宋" w:cs="仿宋"/>
                <w:b w:val="0"/>
                <w:bCs w:val="0"/>
                <w:spacing w:val="-6"/>
                <w:sz w:val="28"/>
                <w:szCs w:val="28"/>
              </w:rPr>
              <w:t>维技术力量。优化流程</w:t>
            </w:r>
            <w:r>
              <w:rPr>
                <w:rFonts w:hint="eastAsia" w:ascii="仿宋" w:hAnsi="仿宋" w:eastAsia="仿宋" w:cs="仿宋"/>
                <w:b w:val="0"/>
                <w:bCs w:val="0"/>
                <w:spacing w:val="-6"/>
                <w:sz w:val="28"/>
                <w:szCs w:val="28"/>
                <w:lang w:eastAsia="zh-CN"/>
              </w:rPr>
              <w:t>、</w:t>
            </w:r>
            <w:r>
              <w:rPr>
                <w:rFonts w:hint="eastAsia" w:ascii="仿宋" w:hAnsi="仿宋" w:eastAsia="仿宋" w:cs="仿宋"/>
                <w:b w:val="0"/>
                <w:bCs w:val="0"/>
                <w:spacing w:val="-6"/>
                <w:sz w:val="28"/>
                <w:szCs w:val="28"/>
              </w:rPr>
              <w:t>提高效率，推动实现信息系统自动化、智能化运维。</w:t>
            </w:r>
          </w:p>
        </w:tc>
      </w:tr>
      <w:bookmarkEnd w:id="49"/>
    </w:tbl>
    <w:p>
      <w:pPr>
        <w:pStyle w:val="3"/>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shd w:val="clear" w:color="auto" w:fill="auto"/>
          <w:lang w:eastAsia="zh-CN"/>
        </w:rPr>
      </w:pPr>
      <w:bookmarkStart w:id="55" w:name="_Toc72706169"/>
      <w:bookmarkStart w:id="56" w:name="_Toc69227031"/>
      <w:bookmarkStart w:id="57" w:name="_Toc68279266"/>
      <w:bookmarkStart w:id="58" w:name="_Toc69226852"/>
      <w:bookmarkStart w:id="59" w:name="_Toc1074494835_WPSOffice_Level1"/>
      <w:r>
        <w:rPr>
          <w:rFonts w:hint="eastAsia" w:ascii="仿宋" w:hAnsi="仿宋" w:eastAsia="仿宋" w:cs="仿宋"/>
          <w:b w:val="0"/>
          <w:bCs w:val="0"/>
          <w:color w:val="auto"/>
          <w:kern w:val="0"/>
          <w:sz w:val="32"/>
          <w:szCs w:val="32"/>
          <w:highlight w:val="none"/>
          <w:shd w:val="clear" w:color="auto" w:fill="auto"/>
        </w:rPr>
        <w:t>加强市场监管政策研究。深化市场监管理论基础研究，加强对完善市场监管体制机制、提高市场监管效能等方面的经验总结</w:t>
      </w:r>
      <w:r>
        <w:rPr>
          <w:rFonts w:hint="eastAsia" w:ascii="仿宋" w:hAnsi="仿宋" w:eastAsia="仿宋" w:cs="仿宋"/>
          <w:b w:val="0"/>
          <w:bCs w:val="0"/>
          <w:color w:val="auto"/>
          <w:kern w:val="0"/>
          <w:sz w:val="32"/>
          <w:szCs w:val="32"/>
          <w:highlight w:val="none"/>
          <w:shd w:val="clear" w:color="auto" w:fill="auto"/>
          <w:lang w:eastAsia="zh-CN"/>
        </w:rPr>
        <w:t>和</w:t>
      </w:r>
      <w:r>
        <w:rPr>
          <w:rFonts w:hint="eastAsia" w:ascii="仿宋" w:hAnsi="仿宋" w:eastAsia="仿宋" w:cs="仿宋"/>
          <w:b w:val="0"/>
          <w:bCs w:val="0"/>
          <w:color w:val="auto"/>
          <w:kern w:val="0"/>
          <w:sz w:val="32"/>
          <w:szCs w:val="32"/>
          <w:highlight w:val="none"/>
          <w:shd w:val="clear" w:color="auto" w:fill="auto"/>
        </w:rPr>
        <w:t>理论研究</w:t>
      </w:r>
      <w:r>
        <w:rPr>
          <w:rFonts w:hint="eastAsia" w:ascii="仿宋" w:hAnsi="仿宋" w:eastAsia="仿宋" w:cs="仿宋"/>
          <w:b w:val="0"/>
          <w:bCs w:val="0"/>
          <w:color w:val="auto"/>
          <w:kern w:val="0"/>
          <w:sz w:val="32"/>
          <w:szCs w:val="32"/>
          <w:highlight w:val="none"/>
          <w:shd w:val="clear" w:color="auto" w:fill="auto"/>
          <w:lang w:eastAsia="zh-CN"/>
        </w:rPr>
        <w:t>。积极探索积累务实管用、科学精准的具体举措，不断丰富完善市场监管有关政策措施。</w:t>
      </w:r>
    </w:p>
    <w:p>
      <w:pPr>
        <w:pStyle w:val="3"/>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textAlignment w:val="auto"/>
        <w:rPr>
          <w:rFonts w:hint="eastAsia" w:ascii="仿宋" w:hAnsi="仿宋" w:eastAsia="仿宋" w:cs="仿宋"/>
          <w:b w:val="0"/>
          <w:bCs w:val="0"/>
          <w:color w:val="auto"/>
          <w:kern w:val="0"/>
          <w:sz w:val="32"/>
          <w:szCs w:val="32"/>
          <w:highlight w:val="none"/>
          <w:shd w:val="clear" w:color="auto" w:fill="auto"/>
        </w:rPr>
      </w:pPr>
      <w:r>
        <w:rPr>
          <w:rFonts w:hint="eastAsia" w:ascii="仿宋" w:hAnsi="仿宋" w:eastAsia="仿宋" w:cs="仿宋"/>
          <w:b w:val="0"/>
          <w:bCs w:val="0"/>
          <w:color w:val="auto"/>
          <w:kern w:val="0"/>
          <w:sz w:val="32"/>
          <w:szCs w:val="32"/>
          <w:highlight w:val="none"/>
          <w:shd w:val="clear" w:color="auto" w:fill="auto"/>
        </w:rPr>
        <w:t>加强宣传和舆论</w:t>
      </w:r>
      <w:r>
        <w:rPr>
          <w:rFonts w:hint="eastAsia" w:ascii="仿宋" w:hAnsi="仿宋" w:eastAsia="仿宋" w:cs="仿宋"/>
          <w:b w:val="0"/>
          <w:bCs w:val="0"/>
          <w:color w:val="auto"/>
          <w:kern w:val="0"/>
          <w:sz w:val="32"/>
          <w:szCs w:val="32"/>
          <w:highlight w:val="none"/>
          <w:shd w:val="clear" w:color="auto" w:fill="auto"/>
          <w:lang w:eastAsia="zh-CN"/>
        </w:rPr>
        <w:t>引导</w:t>
      </w:r>
      <w:r>
        <w:rPr>
          <w:rFonts w:hint="eastAsia" w:ascii="仿宋" w:hAnsi="仿宋" w:eastAsia="仿宋" w:cs="仿宋"/>
          <w:b w:val="0"/>
          <w:bCs w:val="0"/>
          <w:color w:val="auto"/>
          <w:kern w:val="0"/>
          <w:sz w:val="32"/>
          <w:szCs w:val="32"/>
          <w:highlight w:val="none"/>
          <w:shd w:val="clear" w:color="auto" w:fill="auto"/>
        </w:rPr>
        <w:t>。做好政策业务宣传，</w:t>
      </w:r>
      <w:r>
        <w:rPr>
          <w:rFonts w:hint="eastAsia" w:ascii="仿宋" w:hAnsi="仿宋" w:eastAsia="仿宋" w:cs="仿宋"/>
          <w:b w:val="0"/>
          <w:bCs w:val="0"/>
          <w:color w:val="auto"/>
          <w:kern w:val="0"/>
          <w:sz w:val="32"/>
          <w:szCs w:val="32"/>
          <w:highlight w:val="none"/>
          <w:shd w:val="clear" w:color="auto" w:fill="auto"/>
          <w:lang w:eastAsia="zh-CN"/>
        </w:rPr>
        <w:t>强化新媒体运用，</w:t>
      </w:r>
      <w:r>
        <w:rPr>
          <w:rFonts w:hint="eastAsia" w:ascii="仿宋" w:hAnsi="仿宋" w:eastAsia="仿宋" w:cs="仿宋"/>
          <w:b w:val="0"/>
          <w:bCs w:val="0"/>
          <w:color w:val="auto"/>
          <w:kern w:val="0"/>
          <w:sz w:val="32"/>
          <w:szCs w:val="32"/>
          <w:highlight w:val="none"/>
          <w:shd w:val="clear" w:color="auto" w:fill="auto"/>
        </w:rPr>
        <w:t>充分挖掘外宣、内宣平台潜力，推动“3·15”国际消费者权益日、食品安全宣传周、知识产权宣传周、药品安全宣传月、全国质量月、世界计量日、“蒙”字标认证、推动</w:t>
      </w:r>
      <w:r>
        <w:rPr>
          <w:rFonts w:hint="eastAsia" w:ascii="仿宋" w:hAnsi="仿宋" w:eastAsia="仿宋" w:cs="仿宋"/>
          <w:b w:val="0"/>
          <w:bCs w:val="0"/>
          <w:color w:val="auto"/>
          <w:kern w:val="0"/>
          <w:sz w:val="32"/>
          <w:szCs w:val="32"/>
          <w:highlight w:val="none"/>
          <w:shd w:val="clear" w:color="auto" w:fill="auto"/>
          <w:lang w:eastAsia="zh-CN"/>
        </w:rPr>
        <w:t>地方特色乳</w:t>
      </w:r>
      <w:r>
        <w:rPr>
          <w:rFonts w:hint="eastAsia" w:ascii="仿宋" w:hAnsi="仿宋" w:eastAsia="仿宋" w:cs="仿宋"/>
          <w:b w:val="0"/>
          <w:bCs w:val="0"/>
          <w:color w:val="auto"/>
          <w:kern w:val="0"/>
          <w:sz w:val="32"/>
          <w:szCs w:val="32"/>
          <w:highlight w:val="none"/>
          <w:shd w:val="clear" w:color="auto" w:fill="auto"/>
        </w:rPr>
        <w:t>制品产业发展等专题宣传活动</w:t>
      </w:r>
      <w:r>
        <w:rPr>
          <w:rFonts w:hint="eastAsia" w:ascii="仿宋" w:hAnsi="仿宋" w:eastAsia="仿宋" w:cs="仿宋"/>
          <w:b w:val="0"/>
          <w:bCs w:val="0"/>
          <w:color w:val="auto"/>
          <w:kern w:val="0"/>
          <w:sz w:val="32"/>
          <w:szCs w:val="32"/>
          <w:highlight w:val="none"/>
          <w:shd w:val="clear" w:color="auto" w:fill="auto"/>
          <w:lang w:eastAsia="zh-CN"/>
        </w:rPr>
        <w:t>的开展</w:t>
      </w:r>
      <w:r>
        <w:rPr>
          <w:rFonts w:hint="eastAsia" w:ascii="仿宋" w:hAnsi="仿宋" w:eastAsia="仿宋" w:cs="仿宋"/>
          <w:b w:val="0"/>
          <w:bCs w:val="0"/>
          <w:color w:val="auto"/>
          <w:kern w:val="0"/>
          <w:sz w:val="32"/>
          <w:szCs w:val="32"/>
          <w:highlight w:val="none"/>
          <w:shd w:val="clear" w:color="auto" w:fill="auto"/>
        </w:rPr>
        <w:t>。加强舆情引导力度，有效控制网络舆情，充分利用大数据技术，</w:t>
      </w:r>
      <w:r>
        <w:rPr>
          <w:rFonts w:hint="eastAsia" w:ascii="仿宋" w:hAnsi="仿宋" w:eastAsia="仿宋" w:cs="仿宋"/>
          <w:b w:val="0"/>
          <w:bCs w:val="0"/>
          <w:color w:val="auto"/>
          <w:kern w:val="0"/>
          <w:sz w:val="32"/>
          <w:szCs w:val="32"/>
          <w:highlight w:val="none"/>
          <w:shd w:val="clear" w:color="auto" w:fill="auto"/>
          <w:lang w:eastAsia="zh-CN"/>
        </w:rPr>
        <w:t>做好</w:t>
      </w:r>
      <w:r>
        <w:rPr>
          <w:rFonts w:hint="eastAsia" w:ascii="仿宋" w:hAnsi="仿宋" w:eastAsia="仿宋" w:cs="仿宋"/>
          <w:b w:val="0"/>
          <w:bCs w:val="0"/>
          <w:color w:val="auto"/>
          <w:kern w:val="0"/>
          <w:sz w:val="32"/>
          <w:szCs w:val="32"/>
          <w:highlight w:val="none"/>
          <w:shd w:val="clear" w:color="auto" w:fill="auto"/>
        </w:rPr>
        <w:t>重大舆情监测和突发事件处置工作。开展网评员培训，提升网评工作水平。</w:t>
      </w:r>
    </w:p>
    <w:p>
      <w:pPr>
        <w:pStyle w:val="2"/>
        <w:keepNext w:val="0"/>
        <w:keepLines w:val="0"/>
        <w:pageBreakBefore w:val="0"/>
        <w:widowControl w:val="0"/>
        <w:kinsoku/>
        <w:wordWrap/>
        <w:overflowPunct/>
        <w:topLinePunct w:val="0"/>
        <w:autoSpaceDE/>
        <w:autoSpaceDN/>
        <w:bidi w:val="0"/>
        <w:adjustRightInd/>
        <w:snapToGrid/>
        <w:spacing w:after="0" w:line="580" w:lineRule="exact"/>
        <w:ind w:right="0" w:rightChars="0" w:firstLine="640"/>
        <w:textAlignment w:val="auto"/>
        <w:rPr>
          <w:rFonts w:hint="eastAsia" w:ascii="仿宋" w:hAnsi="仿宋" w:eastAsia="仿宋" w:cs="仿宋"/>
          <w:color w:val="auto"/>
          <w:kern w:val="0"/>
          <w:sz w:val="32"/>
          <w:szCs w:val="32"/>
          <w:highlight w:val="none"/>
          <w:shd w:val="clear" w:color="auto" w:fill="auto"/>
        </w:rPr>
      </w:pPr>
      <w:r>
        <w:rPr>
          <w:rFonts w:hint="eastAsia" w:ascii="仿宋" w:hAnsi="仿宋" w:eastAsia="仿宋" w:cs="仿宋"/>
          <w:b w:val="0"/>
          <w:bCs w:val="0"/>
          <w:color w:val="auto"/>
          <w:kern w:val="0"/>
          <w:sz w:val="32"/>
          <w:szCs w:val="32"/>
          <w:highlight w:val="none"/>
          <w:shd w:val="clear" w:color="auto" w:fill="auto"/>
        </w:rPr>
        <w:t>开展市场监管文化建设。注重市场监管核心价值观念、行为规范、道德准则、精神信念建设，培养以人</w:t>
      </w:r>
      <w:r>
        <w:rPr>
          <w:rFonts w:hint="eastAsia" w:ascii="仿宋" w:hAnsi="仿宋" w:eastAsia="仿宋" w:cs="仿宋"/>
          <w:color w:val="auto"/>
          <w:kern w:val="0"/>
          <w:sz w:val="32"/>
          <w:szCs w:val="32"/>
          <w:highlight w:val="none"/>
          <w:shd w:val="clear" w:color="auto" w:fill="auto"/>
        </w:rPr>
        <w:t>民为中心的执法意识、</w:t>
      </w:r>
      <w:r>
        <w:rPr>
          <w:rFonts w:hint="eastAsia" w:ascii="仿宋" w:hAnsi="仿宋" w:eastAsia="仿宋" w:cs="仿宋"/>
          <w:color w:val="auto"/>
          <w:kern w:val="0"/>
          <w:sz w:val="32"/>
          <w:szCs w:val="32"/>
          <w:highlight w:val="none"/>
          <w:shd w:val="clear" w:color="auto" w:fill="auto"/>
          <w:lang w:eastAsia="zh-CN"/>
        </w:rPr>
        <w:t>服务</w:t>
      </w:r>
      <w:r>
        <w:rPr>
          <w:rFonts w:hint="eastAsia" w:ascii="仿宋" w:hAnsi="仿宋" w:eastAsia="仿宋" w:cs="仿宋"/>
          <w:color w:val="auto"/>
          <w:kern w:val="0"/>
          <w:sz w:val="32"/>
          <w:szCs w:val="32"/>
          <w:highlight w:val="none"/>
          <w:shd w:val="clear" w:color="auto" w:fill="auto"/>
        </w:rPr>
        <w:t>理念、制度体制、</w:t>
      </w:r>
      <w:r>
        <w:rPr>
          <w:rFonts w:hint="eastAsia" w:ascii="仿宋" w:hAnsi="仿宋" w:eastAsia="仿宋" w:cs="仿宋"/>
          <w:color w:val="auto"/>
          <w:kern w:val="0"/>
          <w:sz w:val="32"/>
          <w:szCs w:val="32"/>
          <w:highlight w:val="none"/>
          <w:shd w:val="clear" w:color="auto" w:fill="auto"/>
          <w:lang w:eastAsia="zh-CN"/>
        </w:rPr>
        <w:t>监管</w:t>
      </w:r>
      <w:r>
        <w:rPr>
          <w:rFonts w:hint="eastAsia" w:ascii="仿宋" w:hAnsi="仿宋" w:eastAsia="仿宋" w:cs="仿宋"/>
          <w:color w:val="auto"/>
          <w:kern w:val="0"/>
          <w:sz w:val="32"/>
          <w:szCs w:val="32"/>
          <w:highlight w:val="none"/>
          <w:shd w:val="clear" w:color="auto" w:fill="auto"/>
        </w:rPr>
        <w:t>模式。</w:t>
      </w:r>
    </w:p>
    <w:p>
      <w:pPr>
        <w:pStyle w:val="3"/>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0"/>
        <w:rPr>
          <w:rFonts w:hint="eastAsia" w:ascii="方正黑体_GBK" w:hAnsi="方正仿宋_GBK" w:eastAsia="方正黑体_GBK" w:cs="方正仿宋_GBK"/>
          <w:color w:val="auto"/>
          <w:kern w:val="0"/>
          <w:sz w:val="32"/>
          <w:szCs w:val="32"/>
          <w:highlight w:val="none"/>
          <w:shd w:val="clear" w:color="auto" w:fill="auto"/>
          <w:lang w:val="zh-CN" w:bidi="zh-CN"/>
        </w:rPr>
      </w:pPr>
      <w:bookmarkStart w:id="60" w:name="_Toc16973"/>
      <w:r>
        <w:rPr>
          <w:rFonts w:hint="eastAsia" w:ascii="方正黑体_GBK" w:hAnsi="方正仿宋_GBK" w:eastAsia="方正黑体_GBK" w:cs="方正仿宋_GBK"/>
          <w:color w:val="auto"/>
          <w:kern w:val="0"/>
          <w:sz w:val="32"/>
          <w:szCs w:val="32"/>
          <w:highlight w:val="none"/>
          <w:shd w:val="clear" w:color="auto" w:fill="auto"/>
          <w:lang w:val="zh-CN" w:bidi="zh-CN"/>
        </w:rPr>
        <w:t>第五章</w:t>
      </w:r>
      <w:r>
        <w:rPr>
          <w:rFonts w:hint="eastAsia" w:ascii="方正黑体_GBK" w:hAnsi="方正仿宋_GBK" w:eastAsia="方正黑体_GBK" w:cs="方正仿宋_GBK"/>
          <w:color w:val="auto"/>
          <w:kern w:val="0"/>
          <w:sz w:val="32"/>
          <w:szCs w:val="32"/>
          <w:highlight w:val="none"/>
          <w:shd w:val="clear" w:color="auto" w:fill="auto"/>
          <w:lang w:val="en-US" w:bidi="zh-CN"/>
        </w:rPr>
        <w:t xml:space="preserve">  </w:t>
      </w:r>
      <w:r>
        <w:rPr>
          <w:rFonts w:hint="eastAsia" w:ascii="方正黑体_GBK" w:hAnsi="方正仿宋_GBK" w:eastAsia="方正黑体_GBK" w:cs="方正仿宋_GBK"/>
          <w:color w:val="auto"/>
          <w:kern w:val="0"/>
          <w:sz w:val="32"/>
          <w:szCs w:val="32"/>
          <w:highlight w:val="none"/>
          <w:shd w:val="clear" w:color="auto" w:fill="auto"/>
          <w:lang w:val="zh-CN" w:bidi="zh-CN"/>
        </w:rPr>
        <w:t>保障</w:t>
      </w:r>
      <w:bookmarkEnd w:id="55"/>
      <w:bookmarkEnd w:id="56"/>
      <w:bookmarkEnd w:id="57"/>
      <w:bookmarkEnd w:id="58"/>
      <w:bookmarkEnd w:id="59"/>
      <w:r>
        <w:rPr>
          <w:rFonts w:hint="eastAsia" w:ascii="方正黑体_GBK" w:hAnsi="方正仿宋_GBK" w:eastAsia="方正黑体_GBK" w:cs="方正仿宋_GBK"/>
          <w:color w:val="auto"/>
          <w:kern w:val="0"/>
          <w:sz w:val="32"/>
          <w:szCs w:val="32"/>
          <w:highlight w:val="none"/>
          <w:shd w:val="clear" w:color="auto" w:fill="auto"/>
          <w:lang w:val="zh-CN" w:bidi="zh-CN"/>
        </w:rPr>
        <w:t>机制</w:t>
      </w:r>
      <w:bookmarkEnd w:id="60"/>
    </w:p>
    <w:p>
      <w:pPr>
        <w:pStyle w:val="12"/>
        <w:keepNext w:val="0"/>
        <w:keepLines w:val="0"/>
        <w:pageBreakBefore w:val="0"/>
        <w:widowControl w:val="0"/>
        <w:kinsoku/>
        <w:wordWrap/>
        <w:overflowPunct/>
        <w:topLinePunct w:val="0"/>
        <w:autoSpaceDE/>
        <w:autoSpaceDN/>
        <w:bidi w:val="0"/>
        <w:adjustRightInd/>
        <w:snapToGrid w:val="0"/>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val="0"/>
          <w:color w:val="auto"/>
          <w:sz w:val="32"/>
          <w:szCs w:val="32"/>
          <w:highlight w:val="none"/>
          <w:shd w:val="clear" w:color="auto" w:fill="auto"/>
        </w:rPr>
      </w:pPr>
      <w:bookmarkStart w:id="61" w:name="_Toc31231"/>
      <w:bookmarkStart w:id="62" w:name="_Toc3125552_WPSOffice_Level2"/>
      <w:bookmarkStart w:id="63" w:name="_Toc69226855"/>
      <w:bookmarkStart w:id="64" w:name="_Toc69227033"/>
      <w:bookmarkStart w:id="65" w:name="_Toc68279267"/>
      <w:bookmarkStart w:id="66" w:name="_Toc72706171"/>
      <w:r>
        <w:rPr>
          <w:rFonts w:hint="eastAsia" w:ascii="楷体" w:hAnsi="楷体" w:eastAsia="楷体" w:cs="楷体"/>
          <w:b w:val="0"/>
          <w:bCs w:val="0"/>
          <w:color w:val="auto"/>
          <w:sz w:val="32"/>
          <w:szCs w:val="32"/>
          <w:highlight w:val="none"/>
          <w:shd w:val="clear" w:color="auto" w:fill="auto"/>
          <w:lang w:eastAsia="zh-CN"/>
        </w:rPr>
        <w:t>第一节</w:t>
      </w:r>
      <w:r>
        <w:rPr>
          <w:rFonts w:hint="eastAsia" w:ascii="楷体" w:hAnsi="楷体" w:eastAsia="楷体" w:cs="楷体"/>
          <w:b w:val="0"/>
          <w:bCs w:val="0"/>
          <w:color w:val="auto"/>
          <w:sz w:val="32"/>
          <w:szCs w:val="32"/>
          <w:highlight w:val="none"/>
          <w:shd w:val="clear" w:color="auto" w:fill="auto"/>
          <w:lang w:val="en-US" w:eastAsia="zh-CN"/>
        </w:rPr>
        <w:t xml:space="preserve">  </w:t>
      </w:r>
      <w:r>
        <w:rPr>
          <w:rFonts w:hint="eastAsia" w:ascii="楷体" w:hAnsi="楷体" w:eastAsia="楷体" w:cs="楷体"/>
          <w:b w:val="0"/>
          <w:bCs w:val="0"/>
          <w:color w:val="auto"/>
          <w:sz w:val="32"/>
          <w:szCs w:val="32"/>
          <w:highlight w:val="none"/>
          <w:shd w:val="clear" w:color="auto" w:fill="auto"/>
        </w:rPr>
        <w:t>强化组织领导</w:t>
      </w:r>
      <w:bookmarkEnd w:id="61"/>
    </w:p>
    <w:p>
      <w:pPr>
        <w:pStyle w:val="12"/>
        <w:keepNext w:val="0"/>
        <w:keepLines w:val="0"/>
        <w:pageBreakBefore w:val="0"/>
        <w:widowControl w:val="0"/>
        <w:kinsoku/>
        <w:wordWrap/>
        <w:overflowPunct/>
        <w:topLinePunct w:val="0"/>
        <w:autoSpaceDE/>
        <w:autoSpaceDN/>
        <w:bidi w:val="0"/>
        <w:adjustRightInd/>
        <w:snapToGrid w:val="0"/>
        <w:spacing w:after="0" w:line="580" w:lineRule="exact"/>
        <w:ind w:left="0" w:leftChars="0" w:right="0" w:rightChars="0" w:firstLine="640" w:firstLineChars="0"/>
        <w:textAlignment w:val="auto"/>
        <w:rPr>
          <w:rFonts w:hint="eastAsia" w:ascii="仿宋" w:hAnsi="仿宋" w:eastAsia="仿宋" w:cs="仿宋"/>
          <w:b w:val="0"/>
          <w:bCs w:val="0"/>
          <w:color w:val="auto"/>
          <w:kern w:val="0"/>
          <w:sz w:val="32"/>
          <w:szCs w:val="32"/>
          <w:highlight w:val="none"/>
          <w:shd w:val="clear" w:color="auto" w:fill="auto"/>
        </w:rPr>
      </w:pPr>
      <w:r>
        <w:rPr>
          <w:rFonts w:hint="eastAsia" w:ascii="仿宋" w:hAnsi="仿宋" w:eastAsia="仿宋" w:cs="仿宋"/>
          <w:b w:val="0"/>
          <w:bCs w:val="0"/>
          <w:color w:val="auto"/>
          <w:kern w:val="0"/>
          <w:sz w:val="32"/>
          <w:szCs w:val="32"/>
          <w:highlight w:val="none"/>
          <w:shd w:val="clear" w:color="auto" w:fill="auto"/>
        </w:rPr>
        <w:t>各</w:t>
      </w:r>
      <w:r>
        <w:rPr>
          <w:rFonts w:hint="eastAsia" w:ascii="仿宋" w:hAnsi="仿宋" w:eastAsia="仿宋" w:cs="仿宋"/>
          <w:b w:val="0"/>
          <w:bCs w:val="0"/>
          <w:color w:val="auto"/>
          <w:kern w:val="0"/>
          <w:sz w:val="32"/>
          <w:szCs w:val="32"/>
          <w:highlight w:val="none"/>
          <w:shd w:val="clear" w:color="auto" w:fill="auto"/>
          <w:lang w:eastAsia="zh-CN"/>
        </w:rPr>
        <w:t>地区</w:t>
      </w:r>
      <w:r>
        <w:rPr>
          <w:rFonts w:hint="eastAsia" w:ascii="仿宋" w:hAnsi="仿宋" w:eastAsia="仿宋" w:cs="仿宋"/>
          <w:b w:val="0"/>
          <w:bCs w:val="0"/>
          <w:color w:val="auto"/>
          <w:kern w:val="0"/>
          <w:sz w:val="32"/>
          <w:szCs w:val="32"/>
          <w:highlight w:val="none"/>
          <w:shd w:val="clear" w:color="auto" w:fill="auto"/>
        </w:rPr>
        <w:t>、各</w:t>
      </w:r>
      <w:r>
        <w:rPr>
          <w:rFonts w:hint="eastAsia" w:ascii="仿宋" w:hAnsi="仿宋" w:eastAsia="仿宋" w:cs="仿宋"/>
          <w:b w:val="0"/>
          <w:bCs w:val="0"/>
          <w:color w:val="auto"/>
          <w:kern w:val="0"/>
          <w:sz w:val="32"/>
          <w:szCs w:val="32"/>
          <w:highlight w:val="none"/>
          <w:shd w:val="clear" w:color="auto" w:fill="auto"/>
          <w:lang w:eastAsia="zh-CN"/>
        </w:rPr>
        <w:t>有关部门</w:t>
      </w:r>
      <w:r>
        <w:rPr>
          <w:rFonts w:hint="eastAsia" w:ascii="仿宋" w:hAnsi="仿宋" w:eastAsia="仿宋" w:cs="仿宋"/>
          <w:b w:val="0"/>
          <w:bCs w:val="0"/>
          <w:color w:val="auto"/>
          <w:kern w:val="0"/>
          <w:sz w:val="32"/>
          <w:szCs w:val="32"/>
          <w:highlight w:val="none"/>
          <w:shd w:val="clear" w:color="auto" w:fill="auto"/>
        </w:rPr>
        <w:t>要</w:t>
      </w:r>
      <w:r>
        <w:rPr>
          <w:rFonts w:hint="eastAsia" w:ascii="仿宋" w:hAnsi="仿宋" w:eastAsia="仿宋" w:cs="仿宋"/>
          <w:b w:val="0"/>
          <w:bCs w:val="0"/>
          <w:color w:val="auto"/>
          <w:kern w:val="0"/>
          <w:sz w:val="32"/>
          <w:szCs w:val="32"/>
          <w:highlight w:val="none"/>
          <w:shd w:val="clear" w:color="auto" w:fill="auto"/>
          <w:lang w:eastAsia="zh-CN"/>
        </w:rPr>
        <w:t>切实</w:t>
      </w:r>
      <w:r>
        <w:rPr>
          <w:rFonts w:hint="eastAsia" w:ascii="仿宋" w:hAnsi="仿宋" w:eastAsia="仿宋" w:cs="仿宋"/>
          <w:b w:val="0"/>
          <w:bCs w:val="0"/>
          <w:color w:val="auto"/>
          <w:kern w:val="0"/>
          <w:sz w:val="32"/>
          <w:szCs w:val="32"/>
          <w:highlight w:val="none"/>
          <w:shd w:val="clear" w:color="auto" w:fill="auto"/>
        </w:rPr>
        <w:t>加强党的领导，</w:t>
      </w:r>
      <w:r>
        <w:rPr>
          <w:rFonts w:hint="eastAsia" w:ascii="仿宋" w:hAnsi="仿宋" w:eastAsia="仿宋" w:cs="仿宋"/>
          <w:b w:val="0"/>
          <w:bCs w:val="0"/>
          <w:color w:val="auto"/>
          <w:kern w:val="0"/>
          <w:sz w:val="32"/>
          <w:szCs w:val="32"/>
          <w:highlight w:val="none"/>
          <w:shd w:val="clear" w:color="auto" w:fill="auto"/>
          <w:lang w:eastAsia="zh-CN"/>
        </w:rPr>
        <w:t>提高</w:t>
      </w:r>
      <w:r>
        <w:rPr>
          <w:rFonts w:hint="eastAsia" w:ascii="仿宋" w:hAnsi="仿宋" w:eastAsia="仿宋" w:cs="仿宋"/>
          <w:b w:val="0"/>
          <w:bCs w:val="0"/>
          <w:color w:val="auto"/>
          <w:kern w:val="0"/>
          <w:sz w:val="32"/>
          <w:szCs w:val="32"/>
          <w:highlight w:val="none"/>
          <w:shd w:val="clear" w:color="auto" w:fill="auto"/>
        </w:rPr>
        <w:t>政治判断力、政治领悟力、政治执行力，</w:t>
      </w:r>
      <w:r>
        <w:rPr>
          <w:rFonts w:hint="eastAsia" w:ascii="仿宋" w:hAnsi="仿宋" w:eastAsia="仿宋" w:cs="仿宋"/>
          <w:b w:val="0"/>
          <w:bCs w:val="0"/>
          <w:color w:val="auto"/>
          <w:kern w:val="0"/>
          <w:sz w:val="32"/>
          <w:szCs w:val="32"/>
          <w:highlight w:val="none"/>
          <w:shd w:val="clear" w:color="auto" w:fill="auto"/>
          <w:lang w:eastAsia="zh-CN"/>
        </w:rPr>
        <w:t>将实现市场监管治理体系和治理能力现代化作为重要任务抓实抓好，把党的领导落实到市场监管工作的各个方面。要</w:t>
      </w:r>
      <w:r>
        <w:rPr>
          <w:rFonts w:hint="eastAsia" w:ascii="仿宋" w:hAnsi="仿宋" w:eastAsia="仿宋" w:cs="仿宋"/>
          <w:b w:val="0"/>
          <w:bCs w:val="0"/>
          <w:color w:val="auto"/>
          <w:kern w:val="0"/>
          <w:sz w:val="32"/>
          <w:szCs w:val="32"/>
          <w:highlight w:val="none"/>
          <w:shd w:val="clear" w:color="auto" w:fill="auto"/>
        </w:rPr>
        <w:t>将规划纳入</w:t>
      </w:r>
      <w:r>
        <w:rPr>
          <w:rFonts w:hint="eastAsia" w:ascii="仿宋" w:hAnsi="仿宋" w:eastAsia="仿宋" w:cs="仿宋"/>
          <w:b w:val="0"/>
          <w:bCs w:val="0"/>
          <w:color w:val="auto"/>
          <w:kern w:val="0"/>
          <w:sz w:val="32"/>
          <w:szCs w:val="32"/>
          <w:highlight w:val="none"/>
          <w:shd w:val="clear" w:color="auto" w:fill="auto"/>
          <w:lang w:eastAsia="zh-CN"/>
        </w:rPr>
        <w:t>地区</w:t>
      </w:r>
      <w:r>
        <w:rPr>
          <w:rFonts w:hint="eastAsia" w:ascii="仿宋" w:hAnsi="仿宋" w:eastAsia="仿宋" w:cs="仿宋"/>
          <w:b w:val="0"/>
          <w:bCs w:val="0"/>
          <w:color w:val="auto"/>
          <w:kern w:val="0"/>
          <w:sz w:val="32"/>
          <w:szCs w:val="32"/>
          <w:highlight w:val="none"/>
          <w:shd w:val="clear" w:color="auto" w:fill="auto"/>
        </w:rPr>
        <w:t>、</w:t>
      </w:r>
      <w:r>
        <w:rPr>
          <w:rFonts w:hint="eastAsia" w:ascii="仿宋" w:hAnsi="仿宋" w:eastAsia="仿宋" w:cs="仿宋"/>
          <w:b w:val="0"/>
          <w:bCs w:val="0"/>
          <w:color w:val="auto"/>
          <w:kern w:val="0"/>
          <w:sz w:val="32"/>
          <w:szCs w:val="32"/>
          <w:highlight w:val="none"/>
          <w:shd w:val="clear" w:color="auto" w:fill="auto"/>
          <w:lang w:eastAsia="zh-CN"/>
        </w:rPr>
        <w:t>部门</w:t>
      </w:r>
      <w:r>
        <w:rPr>
          <w:rFonts w:hint="eastAsia" w:ascii="仿宋" w:hAnsi="仿宋" w:eastAsia="仿宋" w:cs="仿宋"/>
          <w:b w:val="0"/>
          <w:bCs w:val="0"/>
          <w:color w:val="auto"/>
          <w:kern w:val="0"/>
          <w:sz w:val="32"/>
          <w:szCs w:val="32"/>
          <w:highlight w:val="none"/>
          <w:shd w:val="clear" w:color="auto" w:fill="auto"/>
        </w:rPr>
        <w:t>年度工作部署当中，</w:t>
      </w:r>
      <w:r>
        <w:rPr>
          <w:rFonts w:hint="eastAsia" w:ascii="仿宋" w:hAnsi="仿宋" w:eastAsia="仿宋" w:cs="仿宋"/>
          <w:b w:val="0"/>
          <w:bCs w:val="0"/>
          <w:color w:val="auto"/>
          <w:kern w:val="0"/>
          <w:sz w:val="32"/>
          <w:szCs w:val="32"/>
          <w:highlight w:val="none"/>
          <w:shd w:val="clear" w:color="auto" w:fill="auto"/>
          <w:lang w:eastAsia="zh-CN"/>
        </w:rPr>
        <w:t>加大投入力度，优化投入结构，保障规划实施</w:t>
      </w:r>
      <w:r>
        <w:rPr>
          <w:rFonts w:hint="eastAsia" w:ascii="仿宋" w:hAnsi="仿宋" w:eastAsia="仿宋" w:cs="仿宋"/>
          <w:b w:val="0"/>
          <w:bCs w:val="0"/>
          <w:color w:val="auto"/>
          <w:kern w:val="0"/>
          <w:sz w:val="32"/>
          <w:szCs w:val="32"/>
          <w:highlight w:val="none"/>
          <w:shd w:val="clear" w:color="auto" w:fill="auto"/>
        </w:rPr>
        <w:t>。</w:t>
      </w:r>
      <w:r>
        <w:rPr>
          <w:rFonts w:hint="eastAsia" w:ascii="仿宋" w:hAnsi="仿宋" w:eastAsia="仿宋" w:cs="仿宋"/>
          <w:b w:val="0"/>
          <w:bCs w:val="0"/>
          <w:color w:val="auto"/>
          <w:kern w:val="0"/>
          <w:sz w:val="32"/>
          <w:szCs w:val="32"/>
          <w:highlight w:val="none"/>
          <w:shd w:val="clear" w:color="auto" w:fill="auto"/>
          <w:lang w:eastAsia="zh-CN"/>
        </w:rPr>
        <w:t>市场监管部门要发挥</w:t>
      </w:r>
      <w:r>
        <w:rPr>
          <w:rFonts w:hint="eastAsia" w:ascii="仿宋" w:hAnsi="仿宋" w:eastAsia="仿宋" w:cs="仿宋"/>
          <w:b w:val="0"/>
          <w:bCs w:val="0"/>
          <w:color w:val="auto"/>
          <w:spacing w:val="6"/>
          <w:kern w:val="0"/>
          <w:sz w:val="32"/>
          <w:szCs w:val="32"/>
          <w:highlight w:val="none"/>
          <w:shd w:val="clear" w:color="auto" w:fill="auto"/>
          <w:lang w:eastAsia="zh-CN"/>
        </w:rPr>
        <w:t>主体作用，</w:t>
      </w:r>
      <w:r>
        <w:rPr>
          <w:rFonts w:hint="eastAsia" w:ascii="仿宋" w:hAnsi="仿宋" w:eastAsia="仿宋" w:cs="仿宋"/>
          <w:b w:val="0"/>
          <w:bCs w:val="0"/>
          <w:color w:val="auto"/>
          <w:spacing w:val="6"/>
          <w:kern w:val="0"/>
          <w:sz w:val="32"/>
          <w:szCs w:val="32"/>
          <w:highlight w:val="none"/>
          <w:shd w:val="clear" w:color="auto" w:fill="auto"/>
        </w:rPr>
        <w:t>强化规划的约束力</w:t>
      </w:r>
      <w:r>
        <w:rPr>
          <w:rFonts w:hint="eastAsia" w:ascii="仿宋" w:hAnsi="仿宋" w:eastAsia="仿宋" w:cs="仿宋"/>
          <w:b w:val="0"/>
          <w:bCs w:val="0"/>
          <w:color w:val="auto"/>
          <w:spacing w:val="6"/>
          <w:kern w:val="0"/>
          <w:sz w:val="32"/>
          <w:szCs w:val="32"/>
          <w:highlight w:val="none"/>
          <w:shd w:val="clear" w:color="auto" w:fill="auto"/>
          <w:lang w:eastAsia="zh-CN"/>
        </w:rPr>
        <w:t>，全力推动各项目标和任务落实到位。</w:t>
      </w:r>
    </w:p>
    <w:p>
      <w:pPr>
        <w:pStyle w:val="12"/>
        <w:keepNext w:val="0"/>
        <w:keepLines w:val="0"/>
        <w:pageBreakBefore w:val="0"/>
        <w:widowControl w:val="0"/>
        <w:kinsoku/>
        <w:wordWrap/>
        <w:overflowPunct/>
        <w:topLinePunct w:val="0"/>
        <w:autoSpaceDE/>
        <w:autoSpaceDN/>
        <w:bidi w:val="0"/>
        <w:adjustRightInd/>
        <w:snapToGrid w:val="0"/>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val="0"/>
          <w:color w:val="auto"/>
          <w:kern w:val="0"/>
          <w:sz w:val="32"/>
          <w:szCs w:val="32"/>
          <w:highlight w:val="none"/>
          <w:shd w:val="clear" w:color="auto" w:fill="auto"/>
        </w:rPr>
      </w:pPr>
      <w:bookmarkStart w:id="67" w:name="_Toc22264"/>
      <w:r>
        <w:rPr>
          <w:rFonts w:hint="eastAsia" w:ascii="楷体" w:hAnsi="楷体" w:eastAsia="楷体" w:cs="楷体"/>
          <w:b w:val="0"/>
          <w:bCs w:val="0"/>
          <w:color w:val="auto"/>
          <w:kern w:val="0"/>
          <w:sz w:val="32"/>
          <w:szCs w:val="32"/>
          <w:highlight w:val="none"/>
          <w:shd w:val="clear" w:color="auto" w:fill="auto"/>
          <w:lang w:eastAsia="zh-CN"/>
        </w:rPr>
        <w:t>第二节</w:t>
      </w:r>
      <w:r>
        <w:rPr>
          <w:rFonts w:hint="eastAsia" w:ascii="楷体" w:hAnsi="楷体" w:eastAsia="楷体" w:cs="楷体"/>
          <w:b w:val="0"/>
          <w:bCs w:val="0"/>
          <w:color w:val="auto"/>
          <w:kern w:val="0"/>
          <w:sz w:val="32"/>
          <w:szCs w:val="32"/>
          <w:highlight w:val="none"/>
          <w:shd w:val="clear" w:color="auto" w:fill="auto"/>
          <w:lang w:val="en-US" w:eastAsia="zh-CN"/>
        </w:rPr>
        <w:t xml:space="preserve">  </w:t>
      </w:r>
      <w:r>
        <w:rPr>
          <w:rFonts w:hint="eastAsia" w:ascii="楷体" w:hAnsi="楷体" w:eastAsia="楷体" w:cs="楷体"/>
          <w:b w:val="0"/>
          <w:bCs w:val="0"/>
          <w:color w:val="auto"/>
          <w:kern w:val="0"/>
          <w:sz w:val="32"/>
          <w:szCs w:val="32"/>
          <w:highlight w:val="none"/>
          <w:shd w:val="clear" w:color="auto" w:fill="auto"/>
        </w:rPr>
        <w:t>明确责任分工</w:t>
      </w:r>
      <w:bookmarkEnd w:id="67"/>
    </w:p>
    <w:p>
      <w:pPr>
        <w:pStyle w:val="12"/>
        <w:keepNext w:val="0"/>
        <w:keepLines w:val="0"/>
        <w:pageBreakBefore w:val="0"/>
        <w:widowControl w:val="0"/>
        <w:kinsoku/>
        <w:wordWrap/>
        <w:overflowPunct/>
        <w:topLinePunct w:val="0"/>
        <w:autoSpaceDE/>
        <w:autoSpaceDN/>
        <w:bidi w:val="0"/>
        <w:adjustRightInd/>
        <w:snapToGrid w:val="0"/>
        <w:spacing w:after="0" w:line="580" w:lineRule="exact"/>
        <w:ind w:left="0" w:leftChars="0" w:right="0" w:rightChars="0" w:firstLine="640" w:firstLineChars="0"/>
        <w:textAlignment w:val="auto"/>
        <w:rPr>
          <w:rFonts w:hint="eastAsia" w:ascii="仿宋" w:hAnsi="仿宋" w:eastAsia="仿宋" w:cs="仿宋"/>
          <w:b w:val="0"/>
          <w:bCs w:val="0"/>
          <w:color w:val="auto"/>
          <w:kern w:val="0"/>
          <w:sz w:val="32"/>
          <w:szCs w:val="32"/>
          <w:highlight w:val="none"/>
          <w:shd w:val="clear" w:color="auto" w:fill="auto"/>
        </w:rPr>
      </w:pPr>
      <w:r>
        <w:rPr>
          <w:rFonts w:hint="eastAsia" w:ascii="仿宋" w:hAnsi="仿宋" w:eastAsia="仿宋" w:cs="仿宋"/>
          <w:b w:val="0"/>
          <w:bCs w:val="0"/>
          <w:color w:val="auto"/>
          <w:kern w:val="0"/>
          <w:sz w:val="32"/>
          <w:szCs w:val="32"/>
          <w:highlight w:val="none"/>
          <w:shd w:val="clear" w:color="auto" w:fill="auto"/>
        </w:rPr>
        <w:t>各</w:t>
      </w:r>
      <w:r>
        <w:rPr>
          <w:rFonts w:hint="eastAsia" w:ascii="仿宋" w:hAnsi="仿宋" w:eastAsia="仿宋" w:cs="仿宋"/>
          <w:b w:val="0"/>
          <w:bCs w:val="0"/>
          <w:color w:val="auto"/>
          <w:kern w:val="0"/>
          <w:sz w:val="32"/>
          <w:szCs w:val="32"/>
          <w:highlight w:val="none"/>
          <w:shd w:val="clear" w:color="auto" w:fill="auto"/>
          <w:lang w:eastAsia="zh-CN"/>
        </w:rPr>
        <w:t>地区</w:t>
      </w:r>
      <w:r>
        <w:rPr>
          <w:rFonts w:hint="eastAsia" w:ascii="仿宋" w:hAnsi="仿宋" w:eastAsia="仿宋" w:cs="仿宋"/>
          <w:b w:val="0"/>
          <w:bCs w:val="0"/>
          <w:color w:val="auto"/>
          <w:kern w:val="0"/>
          <w:sz w:val="32"/>
          <w:szCs w:val="32"/>
          <w:highlight w:val="none"/>
          <w:shd w:val="clear" w:color="auto" w:fill="auto"/>
        </w:rPr>
        <w:t>、各</w:t>
      </w:r>
      <w:r>
        <w:rPr>
          <w:rFonts w:hint="eastAsia" w:ascii="仿宋" w:hAnsi="仿宋" w:eastAsia="仿宋" w:cs="仿宋"/>
          <w:b w:val="0"/>
          <w:bCs w:val="0"/>
          <w:color w:val="auto"/>
          <w:kern w:val="0"/>
          <w:sz w:val="32"/>
          <w:szCs w:val="32"/>
          <w:highlight w:val="none"/>
          <w:shd w:val="clear" w:color="auto" w:fill="auto"/>
          <w:lang w:eastAsia="zh-CN"/>
        </w:rPr>
        <w:t>有关部门</w:t>
      </w:r>
      <w:r>
        <w:rPr>
          <w:rFonts w:hint="eastAsia" w:ascii="仿宋" w:hAnsi="仿宋" w:eastAsia="仿宋" w:cs="仿宋"/>
          <w:b w:val="0"/>
          <w:bCs w:val="0"/>
          <w:color w:val="auto"/>
          <w:kern w:val="0"/>
          <w:sz w:val="32"/>
          <w:szCs w:val="32"/>
          <w:highlight w:val="none"/>
          <w:shd w:val="clear" w:color="auto" w:fill="auto"/>
        </w:rPr>
        <w:t>要树立大局观念，强化责任意识，注重</w:t>
      </w:r>
      <w:r>
        <w:rPr>
          <w:rFonts w:hint="eastAsia" w:ascii="仿宋" w:hAnsi="仿宋" w:eastAsia="仿宋" w:cs="仿宋"/>
          <w:b w:val="0"/>
          <w:bCs w:val="0"/>
          <w:color w:val="auto"/>
          <w:kern w:val="0"/>
          <w:sz w:val="32"/>
          <w:szCs w:val="32"/>
          <w:highlight w:val="none"/>
          <w:shd w:val="clear" w:color="auto" w:fill="auto"/>
          <w:lang w:eastAsia="zh-CN"/>
        </w:rPr>
        <w:t>协同</w:t>
      </w:r>
      <w:r>
        <w:rPr>
          <w:rFonts w:hint="eastAsia" w:ascii="仿宋" w:hAnsi="仿宋" w:eastAsia="仿宋" w:cs="仿宋"/>
          <w:b w:val="0"/>
          <w:bCs w:val="0"/>
          <w:color w:val="auto"/>
          <w:kern w:val="0"/>
          <w:sz w:val="32"/>
          <w:szCs w:val="32"/>
          <w:highlight w:val="none"/>
          <w:shd w:val="clear" w:color="auto" w:fill="auto"/>
        </w:rPr>
        <w:t>配合</w:t>
      </w:r>
      <w:r>
        <w:rPr>
          <w:rFonts w:hint="eastAsia" w:ascii="仿宋" w:hAnsi="仿宋" w:eastAsia="仿宋" w:cs="仿宋"/>
          <w:b w:val="0"/>
          <w:bCs w:val="0"/>
          <w:color w:val="auto"/>
          <w:kern w:val="0"/>
          <w:sz w:val="32"/>
          <w:szCs w:val="32"/>
          <w:highlight w:val="none"/>
          <w:shd w:val="clear" w:color="auto" w:fill="auto"/>
          <w:lang w:eastAsia="zh-CN"/>
        </w:rPr>
        <w:t>，围绕规划确定的目标任务，细化实施的</w:t>
      </w:r>
      <w:r>
        <w:rPr>
          <w:rFonts w:hint="eastAsia" w:ascii="仿宋" w:hAnsi="仿宋" w:eastAsia="仿宋" w:cs="仿宋"/>
          <w:b w:val="0"/>
          <w:bCs w:val="0"/>
          <w:color w:val="auto"/>
          <w:kern w:val="0"/>
          <w:sz w:val="32"/>
          <w:szCs w:val="32"/>
          <w:highlight w:val="none"/>
          <w:shd w:val="clear" w:color="auto" w:fill="auto"/>
        </w:rPr>
        <w:t>时间表、路线图，</w:t>
      </w:r>
      <w:r>
        <w:rPr>
          <w:rFonts w:hint="eastAsia" w:ascii="仿宋" w:hAnsi="仿宋" w:eastAsia="仿宋" w:cs="仿宋"/>
          <w:b w:val="0"/>
          <w:bCs w:val="0"/>
          <w:color w:val="auto"/>
          <w:kern w:val="0"/>
          <w:sz w:val="32"/>
          <w:szCs w:val="32"/>
          <w:highlight w:val="none"/>
          <w:shd w:val="clear" w:color="auto" w:fill="auto"/>
          <w:lang w:eastAsia="zh-CN"/>
        </w:rPr>
        <w:t>形成年度计划，</w:t>
      </w:r>
      <w:r>
        <w:rPr>
          <w:rFonts w:hint="eastAsia" w:ascii="仿宋" w:hAnsi="仿宋" w:eastAsia="仿宋" w:cs="仿宋"/>
          <w:b w:val="0"/>
          <w:bCs w:val="0"/>
          <w:color w:val="auto"/>
          <w:kern w:val="0"/>
          <w:sz w:val="32"/>
          <w:szCs w:val="32"/>
          <w:highlight w:val="none"/>
          <w:shd w:val="clear" w:color="auto" w:fill="auto"/>
        </w:rPr>
        <w:t>扎实推进规划实施。要勇于改革</w:t>
      </w:r>
      <w:r>
        <w:rPr>
          <w:rFonts w:hint="eastAsia" w:ascii="仿宋" w:hAnsi="仿宋" w:eastAsia="仿宋" w:cs="仿宋"/>
          <w:b w:val="0"/>
          <w:bCs w:val="0"/>
          <w:color w:val="auto"/>
          <w:kern w:val="0"/>
          <w:sz w:val="32"/>
          <w:szCs w:val="32"/>
          <w:highlight w:val="none"/>
          <w:shd w:val="clear" w:color="auto" w:fill="auto"/>
          <w:lang w:eastAsia="zh-CN"/>
        </w:rPr>
        <w:t>、</w:t>
      </w:r>
      <w:r>
        <w:rPr>
          <w:rFonts w:hint="eastAsia" w:ascii="仿宋" w:hAnsi="仿宋" w:eastAsia="仿宋" w:cs="仿宋"/>
          <w:b w:val="0"/>
          <w:bCs w:val="0"/>
          <w:color w:val="auto"/>
          <w:kern w:val="0"/>
          <w:sz w:val="32"/>
          <w:szCs w:val="32"/>
          <w:highlight w:val="none"/>
          <w:shd w:val="clear" w:color="auto" w:fill="auto"/>
        </w:rPr>
        <w:t>积极探索</w:t>
      </w:r>
      <w:r>
        <w:rPr>
          <w:rFonts w:hint="eastAsia" w:ascii="仿宋" w:hAnsi="仿宋" w:eastAsia="仿宋" w:cs="仿宋"/>
          <w:b w:val="0"/>
          <w:bCs w:val="0"/>
          <w:color w:val="auto"/>
          <w:kern w:val="0"/>
          <w:sz w:val="32"/>
          <w:szCs w:val="32"/>
          <w:highlight w:val="none"/>
          <w:shd w:val="clear" w:color="auto" w:fill="auto"/>
          <w:lang w:eastAsia="zh-CN"/>
        </w:rPr>
        <w:t>，结合本地区、本部门、本领域实际，因地制宜地制定</w:t>
      </w:r>
      <w:r>
        <w:rPr>
          <w:rFonts w:hint="eastAsia" w:ascii="仿宋" w:hAnsi="仿宋" w:eastAsia="仿宋" w:cs="仿宋"/>
          <w:b w:val="0"/>
          <w:bCs w:val="0"/>
          <w:color w:val="auto"/>
          <w:kern w:val="0"/>
          <w:sz w:val="32"/>
          <w:szCs w:val="32"/>
          <w:highlight w:val="none"/>
          <w:shd w:val="clear" w:color="auto" w:fill="auto"/>
        </w:rPr>
        <w:t>改革性举措</w:t>
      </w:r>
      <w:r>
        <w:rPr>
          <w:rFonts w:hint="eastAsia" w:ascii="仿宋" w:hAnsi="仿宋" w:eastAsia="仿宋" w:cs="仿宋"/>
          <w:b w:val="0"/>
          <w:bCs w:val="0"/>
          <w:color w:val="auto"/>
          <w:kern w:val="0"/>
          <w:sz w:val="32"/>
          <w:szCs w:val="32"/>
          <w:highlight w:val="none"/>
          <w:shd w:val="clear" w:color="auto" w:fill="auto"/>
          <w:lang w:eastAsia="zh-CN"/>
        </w:rPr>
        <w:t>，确保</w:t>
      </w:r>
      <w:r>
        <w:rPr>
          <w:rFonts w:hint="eastAsia" w:ascii="仿宋" w:hAnsi="仿宋" w:eastAsia="仿宋" w:cs="仿宋"/>
          <w:b w:val="0"/>
          <w:bCs w:val="0"/>
          <w:color w:val="auto"/>
          <w:kern w:val="0"/>
          <w:sz w:val="32"/>
          <w:szCs w:val="32"/>
          <w:highlight w:val="none"/>
          <w:shd w:val="clear" w:color="auto" w:fill="auto"/>
        </w:rPr>
        <w:t>规划任务</w:t>
      </w:r>
      <w:r>
        <w:rPr>
          <w:rFonts w:hint="eastAsia" w:ascii="仿宋" w:hAnsi="仿宋" w:eastAsia="仿宋" w:cs="仿宋"/>
          <w:b w:val="0"/>
          <w:bCs w:val="0"/>
          <w:color w:val="auto"/>
          <w:kern w:val="0"/>
          <w:sz w:val="32"/>
          <w:szCs w:val="32"/>
          <w:highlight w:val="none"/>
          <w:shd w:val="clear" w:color="auto" w:fill="auto"/>
          <w:lang w:eastAsia="zh-CN"/>
        </w:rPr>
        <w:t>顺利落实</w:t>
      </w:r>
      <w:r>
        <w:rPr>
          <w:rFonts w:hint="eastAsia" w:ascii="仿宋" w:hAnsi="仿宋" w:eastAsia="仿宋" w:cs="仿宋"/>
          <w:b w:val="0"/>
          <w:bCs w:val="0"/>
          <w:color w:val="auto"/>
          <w:kern w:val="0"/>
          <w:sz w:val="32"/>
          <w:szCs w:val="32"/>
          <w:highlight w:val="none"/>
          <w:shd w:val="clear" w:color="auto" w:fill="auto"/>
        </w:rPr>
        <w:t>。</w:t>
      </w:r>
      <w:bookmarkStart w:id="68" w:name="_Toc31633"/>
    </w:p>
    <w:p>
      <w:pPr>
        <w:pStyle w:val="12"/>
        <w:keepNext w:val="0"/>
        <w:keepLines w:val="0"/>
        <w:pageBreakBefore w:val="0"/>
        <w:widowControl w:val="0"/>
        <w:kinsoku/>
        <w:wordWrap/>
        <w:overflowPunct/>
        <w:topLinePunct w:val="0"/>
        <w:autoSpaceDE/>
        <w:autoSpaceDN/>
        <w:bidi w:val="0"/>
        <w:adjustRightInd/>
        <w:snapToGrid w:val="0"/>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color w:val="auto"/>
          <w:kern w:val="0"/>
          <w:sz w:val="32"/>
          <w:szCs w:val="32"/>
          <w:highlight w:val="none"/>
          <w:shd w:val="clear" w:color="auto" w:fill="auto"/>
        </w:rPr>
      </w:pPr>
      <w:r>
        <w:rPr>
          <w:rFonts w:hint="eastAsia" w:ascii="楷体" w:hAnsi="楷体" w:eastAsia="楷体" w:cs="楷体"/>
          <w:b w:val="0"/>
          <w:bCs w:val="0"/>
          <w:color w:val="auto"/>
          <w:kern w:val="0"/>
          <w:sz w:val="32"/>
          <w:szCs w:val="32"/>
          <w:highlight w:val="none"/>
          <w:shd w:val="clear" w:color="auto" w:fill="auto"/>
          <w:lang w:eastAsia="zh-CN"/>
        </w:rPr>
        <w:t>第三节</w:t>
      </w:r>
      <w:r>
        <w:rPr>
          <w:rFonts w:hint="eastAsia" w:ascii="楷体" w:hAnsi="楷体" w:eastAsia="楷体" w:cs="楷体"/>
          <w:b w:val="0"/>
          <w:bCs w:val="0"/>
          <w:color w:val="auto"/>
          <w:kern w:val="0"/>
          <w:sz w:val="32"/>
          <w:szCs w:val="32"/>
          <w:highlight w:val="none"/>
          <w:shd w:val="clear" w:color="auto" w:fill="auto"/>
          <w:lang w:val="en-US" w:eastAsia="zh-CN"/>
        </w:rPr>
        <w:t xml:space="preserve">  </w:t>
      </w:r>
      <w:r>
        <w:rPr>
          <w:rFonts w:hint="eastAsia" w:ascii="楷体" w:hAnsi="楷体" w:eastAsia="楷体" w:cs="楷体"/>
          <w:b w:val="0"/>
          <w:bCs w:val="0"/>
          <w:color w:val="auto"/>
          <w:kern w:val="0"/>
          <w:sz w:val="32"/>
          <w:szCs w:val="32"/>
          <w:highlight w:val="none"/>
          <w:shd w:val="clear" w:color="auto" w:fill="auto"/>
        </w:rPr>
        <w:t>加强</w:t>
      </w:r>
      <w:r>
        <w:rPr>
          <w:rFonts w:hint="eastAsia" w:ascii="楷体" w:hAnsi="楷体" w:eastAsia="楷体" w:cs="楷体"/>
          <w:b w:val="0"/>
          <w:bCs w:val="0"/>
          <w:color w:val="auto"/>
          <w:kern w:val="0"/>
          <w:sz w:val="32"/>
          <w:szCs w:val="32"/>
          <w:highlight w:val="none"/>
          <w:shd w:val="clear" w:color="auto" w:fill="auto"/>
          <w:lang w:eastAsia="zh-CN"/>
        </w:rPr>
        <w:t>规划</w:t>
      </w:r>
      <w:r>
        <w:rPr>
          <w:rFonts w:hint="eastAsia" w:ascii="楷体" w:hAnsi="楷体" w:eastAsia="楷体" w:cs="楷体"/>
          <w:b w:val="0"/>
          <w:bCs w:val="0"/>
          <w:color w:val="auto"/>
          <w:kern w:val="0"/>
          <w:sz w:val="32"/>
          <w:szCs w:val="32"/>
          <w:highlight w:val="none"/>
          <w:shd w:val="clear" w:color="auto" w:fill="auto"/>
        </w:rPr>
        <w:t>评估</w:t>
      </w:r>
      <w:bookmarkEnd w:id="68"/>
    </w:p>
    <w:p>
      <w:pPr>
        <w:pStyle w:val="12"/>
        <w:keepNext w:val="0"/>
        <w:keepLines w:val="0"/>
        <w:pageBreakBefore w:val="0"/>
        <w:widowControl w:val="0"/>
        <w:kinsoku/>
        <w:wordWrap/>
        <w:overflowPunct/>
        <w:topLinePunct w:val="0"/>
        <w:autoSpaceDE/>
        <w:autoSpaceDN/>
        <w:bidi w:val="0"/>
        <w:adjustRightInd/>
        <w:snapToGrid w:val="0"/>
        <w:spacing w:after="0" w:line="580" w:lineRule="exact"/>
        <w:ind w:left="0" w:leftChars="0" w:right="0" w:rightChars="0" w:firstLine="640" w:firstLineChars="0"/>
        <w:textAlignment w:val="auto"/>
        <w:rPr>
          <w:rFonts w:eastAsia="等线"/>
          <w:b w:val="0"/>
          <w:bCs w:val="0"/>
          <w:color w:val="auto"/>
          <w:sz w:val="32"/>
          <w:szCs w:val="32"/>
          <w:highlight w:val="none"/>
          <w:shd w:val="clear" w:color="auto" w:fill="auto"/>
        </w:rPr>
      </w:pPr>
      <w:r>
        <w:rPr>
          <w:rFonts w:hint="eastAsia" w:ascii="仿宋" w:hAnsi="仿宋" w:eastAsia="仿宋" w:cs="仿宋"/>
          <w:b w:val="0"/>
          <w:bCs w:val="0"/>
          <w:color w:val="auto"/>
          <w:kern w:val="0"/>
          <w:sz w:val="32"/>
          <w:szCs w:val="32"/>
          <w:highlight w:val="none"/>
          <w:shd w:val="clear" w:color="auto" w:fill="auto"/>
        </w:rPr>
        <w:t>做好规划评估监测、跟踪问效、督促检查。组织开展规划实施年度监测分析、中期评估、总结评估，鼓励开展第三方评估。各</w:t>
      </w:r>
      <w:r>
        <w:rPr>
          <w:rFonts w:hint="eastAsia" w:ascii="仿宋" w:hAnsi="仿宋" w:eastAsia="仿宋" w:cs="仿宋"/>
          <w:b w:val="0"/>
          <w:bCs w:val="0"/>
          <w:color w:val="auto"/>
          <w:kern w:val="0"/>
          <w:sz w:val="32"/>
          <w:szCs w:val="32"/>
          <w:highlight w:val="none"/>
          <w:shd w:val="clear" w:color="auto" w:fill="auto"/>
          <w:lang w:eastAsia="zh-CN"/>
        </w:rPr>
        <w:t>地区、</w:t>
      </w:r>
      <w:r>
        <w:rPr>
          <w:rFonts w:hint="eastAsia" w:ascii="仿宋" w:hAnsi="仿宋" w:eastAsia="仿宋" w:cs="仿宋"/>
          <w:b w:val="0"/>
          <w:bCs w:val="0"/>
          <w:color w:val="auto"/>
          <w:kern w:val="0"/>
          <w:sz w:val="32"/>
          <w:szCs w:val="32"/>
          <w:highlight w:val="none"/>
          <w:shd w:val="clear" w:color="auto" w:fill="auto"/>
        </w:rPr>
        <w:t>各</w:t>
      </w:r>
      <w:r>
        <w:rPr>
          <w:rFonts w:hint="eastAsia" w:ascii="仿宋" w:hAnsi="仿宋" w:eastAsia="仿宋" w:cs="仿宋"/>
          <w:b w:val="0"/>
          <w:bCs w:val="0"/>
          <w:color w:val="auto"/>
          <w:kern w:val="0"/>
          <w:sz w:val="32"/>
          <w:szCs w:val="32"/>
          <w:highlight w:val="none"/>
          <w:shd w:val="clear" w:color="auto" w:fill="auto"/>
          <w:lang w:eastAsia="zh-CN"/>
        </w:rPr>
        <w:t>有关</w:t>
      </w:r>
      <w:r>
        <w:rPr>
          <w:rFonts w:hint="eastAsia" w:ascii="仿宋" w:hAnsi="仿宋" w:eastAsia="仿宋" w:cs="仿宋"/>
          <w:b w:val="0"/>
          <w:bCs w:val="0"/>
          <w:color w:val="auto"/>
          <w:kern w:val="0"/>
          <w:sz w:val="32"/>
          <w:szCs w:val="32"/>
          <w:highlight w:val="none"/>
          <w:shd w:val="clear" w:color="auto" w:fill="auto"/>
        </w:rPr>
        <w:t>部门要及时总结本地区</w:t>
      </w:r>
      <w:r>
        <w:rPr>
          <w:rFonts w:hint="eastAsia" w:ascii="仿宋" w:hAnsi="仿宋" w:eastAsia="仿宋" w:cs="仿宋"/>
          <w:b w:val="0"/>
          <w:bCs w:val="0"/>
          <w:color w:val="auto"/>
          <w:kern w:val="0"/>
          <w:sz w:val="32"/>
          <w:szCs w:val="32"/>
          <w:highlight w:val="none"/>
          <w:shd w:val="clear" w:color="auto" w:fill="auto"/>
          <w:lang w:eastAsia="zh-CN"/>
        </w:rPr>
        <w:t>、本部门、本领域</w:t>
      </w:r>
      <w:r>
        <w:rPr>
          <w:rFonts w:hint="eastAsia" w:ascii="仿宋" w:hAnsi="仿宋" w:eastAsia="仿宋" w:cs="仿宋"/>
          <w:b w:val="0"/>
          <w:bCs w:val="0"/>
          <w:color w:val="auto"/>
          <w:kern w:val="0"/>
          <w:sz w:val="32"/>
          <w:szCs w:val="32"/>
          <w:highlight w:val="none"/>
          <w:shd w:val="clear" w:color="auto" w:fill="auto"/>
        </w:rPr>
        <w:t>规划落实情况，每年向自治区市场监管局报送规划实施情况报告，总结规划实施进展，提出推进规划实施建议。落实激励和约束制度，把规划落实情况纳入</w:t>
      </w:r>
      <w:r>
        <w:rPr>
          <w:rFonts w:hint="eastAsia" w:ascii="仿宋" w:hAnsi="仿宋" w:eastAsia="仿宋" w:cs="仿宋"/>
          <w:b w:val="0"/>
          <w:bCs w:val="0"/>
          <w:color w:val="auto"/>
          <w:kern w:val="0"/>
          <w:sz w:val="32"/>
          <w:szCs w:val="32"/>
          <w:highlight w:val="none"/>
          <w:shd w:val="clear" w:color="auto" w:fill="auto"/>
          <w:lang w:eastAsia="zh-CN"/>
        </w:rPr>
        <w:t>对各级市场监管部门的考核</w:t>
      </w:r>
      <w:r>
        <w:rPr>
          <w:rFonts w:hint="eastAsia" w:ascii="仿宋" w:hAnsi="仿宋" w:eastAsia="仿宋" w:cs="仿宋"/>
          <w:b w:val="0"/>
          <w:bCs w:val="0"/>
          <w:color w:val="auto"/>
          <w:kern w:val="0"/>
          <w:sz w:val="32"/>
          <w:szCs w:val="32"/>
          <w:highlight w:val="none"/>
          <w:shd w:val="clear" w:color="auto" w:fill="auto"/>
        </w:rPr>
        <w:t>，强化监测评估结果运用，确保实现各项目标任务。</w:t>
      </w:r>
      <w:bookmarkEnd w:id="62"/>
      <w:bookmarkEnd w:id="63"/>
      <w:bookmarkEnd w:id="64"/>
      <w:bookmarkEnd w:id="65"/>
      <w:bookmarkEnd w:id="66"/>
    </w:p>
    <w:p>
      <w:pPr>
        <w:keepNext w:val="0"/>
        <w:keepLines w:val="0"/>
        <w:pageBreakBefore w:val="0"/>
        <w:widowControl w:val="0"/>
        <w:kinsoku/>
        <w:wordWrap/>
        <w:overflowPunct/>
        <w:topLinePunct w:val="0"/>
        <w:autoSpaceDE/>
        <w:autoSpaceDN/>
        <w:bidi w:val="0"/>
        <w:adjustRightInd/>
        <w:spacing w:line="580" w:lineRule="exact"/>
        <w:ind w:right="0" w:rightChars="0"/>
        <w:textAlignment w:val="auto"/>
        <w:rPr>
          <w:b w:val="0"/>
          <w:bCs w:val="0"/>
          <w:color w:val="auto"/>
          <w:highlight w:val="none"/>
          <w:shd w:val="clear" w:color="auto" w:fill="auto"/>
        </w:rPr>
      </w:pPr>
      <w:bookmarkStart w:id="69" w:name="_Toc67837169"/>
      <w:bookmarkStart w:id="70" w:name="_Toc55166454"/>
      <w:bookmarkStart w:id="71" w:name="_Toc58641778"/>
      <w:bookmarkStart w:id="72" w:name="_Toc62742939"/>
    </w:p>
    <w:p>
      <w:pPr>
        <w:pStyle w:val="2"/>
        <w:keepNext w:val="0"/>
        <w:keepLines w:val="0"/>
        <w:pageBreakBefore w:val="0"/>
        <w:widowControl w:val="0"/>
        <w:kinsoku/>
        <w:wordWrap/>
        <w:overflowPunct/>
        <w:autoSpaceDE/>
        <w:autoSpaceDN/>
        <w:bidi w:val="0"/>
        <w:adjustRightInd/>
        <w:spacing w:after="0" w:line="580" w:lineRule="exact"/>
        <w:ind w:right="0" w:rightChars="0" w:firstLine="640" w:firstLineChars="200"/>
        <w:textAlignment w:val="auto"/>
        <w:sectPr>
          <w:footerReference r:id="rId3" w:type="default"/>
          <w:footerReference r:id="rId4" w:type="even"/>
          <w:pgSz w:w="11906" w:h="16838"/>
          <w:pgMar w:top="2098" w:right="1474" w:bottom="1701" w:left="1474" w:header="851" w:footer="1417" w:gutter="0"/>
          <w:paperSrc/>
          <w:pgBorders>
            <w:top w:val="none" w:sz="0" w:space="0"/>
            <w:left w:val="none" w:sz="0" w:space="0"/>
            <w:bottom w:val="none" w:sz="0" w:space="0"/>
            <w:right w:val="none" w:sz="0" w:space="0"/>
          </w:pgBorders>
          <w:pgNumType w:fmt="numberInDash"/>
          <w:cols w:space="720" w:num="1"/>
          <w:rtlGutter w:val="0"/>
          <w:docGrid w:type="lines" w:linePitch="312" w:charSpace="0"/>
        </w:sectPr>
      </w:pPr>
      <w:r>
        <w:rPr>
          <w:rFonts w:hint="eastAsia" w:ascii="仿宋_GB2312" w:hAnsi="仿宋_GB2312" w:eastAsia="仿宋_GB2312" w:cs="仿宋_GB2312"/>
          <w:color w:val="auto"/>
          <w:sz w:val="32"/>
          <w:szCs w:val="32"/>
          <w:highlight w:val="none"/>
          <w:shd w:val="clear" w:color="auto" w:fill="auto"/>
        </w:rPr>
        <w:t>附件：内蒙古自治区“十四五”市场监管规划重大项目表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黑体" w:hAnsi="黑体" w:eastAsia="黑体" w:cs="黑体"/>
          <w:b w:val="0"/>
          <w:bCs w:val="0"/>
          <w:i w:val="0"/>
          <w:caps w:val="0"/>
          <w:color w:val="auto"/>
          <w:spacing w:val="0"/>
          <w:kern w:val="0"/>
          <w:sz w:val="32"/>
          <w:szCs w:val="32"/>
          <w:shd w:val="clear" w:color="auto" w:fill="auto"/>
          <w:lang w:val="en-US" w:eastAsia="zh-CN" w:bidi="ar"/>
        </w:rPr>
      </w:pPr>
      <w:bookmarkStart w:id="73" w:name="_Toc17448"/>
      <w:r>
        <w:rPr>
          <w:rFonts w:hint="eastAsia" w:ascii="黑体" w:hAnsi="黑体" w:eastAsia="黑体" w:cs="黑体"/>
          <w:b w:val="0"/>
          <w:bCs w:val="0"/>
          <w:i w:val="0"/>
          <w:caps w:val="0"/>
          <w:color w:val="auto"/>
          <w:spacing w:val="0"/>
          <w:kern w:val="0"/>
          <w:sz w:val="32"/>
          <w:szCs w:val="32"/>
          <w:shd w:val="clear" w:color="auto" w:fill="auto"/>
          <w:lang w:val="en-US" w:eastAsia="zh-CN" w:bidi="ar"/>
        </w:rPr>
        <w:t>附件</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i w:val="0"/>
          <w:caps w:val="0"/>
          <w:color w:val="auto"/>
          <w:spacing w:val="0"/>
          <w:kern w:val="0"/>
          <w:sz w:val="44"/>
          <w:szCs w:val="44"/>
          <w:shd w:val="clear" w:color="auto" w:fill="auto"/>
          <w:lang w:val="en-US" w:eastAsia="zh-CN" w:bidi="ar"/>
        </w:rPr>
      </w:pPr>
      <w:r>
        <w:rPr>
          <w:rFonts w:hint="eastAsia" w:ascii="方正小标宋_GBK" w:hAnsi="方正小标宋_GBK" w:eastAsia="方正小标宋_GBK" w:cs="方正小标宋_GBK"/>
          <w:b w:val="0"/>
          <w:bCs w:val="0"/>
          <w:i w:val="0"/>
          <w:caps w:val="0"/>
          <w:color w:val="auto"/>
          <w:spacing w:val="0"/>
          <w:kern w:val="0"/>
          <w:sz w:val="44"/>
          <w:szCs w:val="44"/>
          <w:shd w:val="clear" w:color="auto" w:fill="auto"/>
          <w:lang w:val="en-US" w:eastAsia="zh-CN" w:bidi="ar"/>
        </w:rPr>
        <w:t>内蒙古自治区“十四五”市场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i w:val="0"/>
          <w:caps w:val="0"/>
          <w:color w:val="auto"/>
          <w:spacing w:val="0"/>
          <w:kern w:val="0"/>
          <w:sz w:val="44"/>
          <w:szCs w:val="44"/>
          <w:shd w:val="clear" w:color="auto" w:fill="auto"/>
          <w:lang w:val="en-US" w:eastAsia="zh-CN" w:bidi="ar"/>
        </w:rPr>
      </w:pPr>
      <w:r>
        <w:rPr>
          <w:rFonts w:hint="eastAsia" w:ascii="方正小标宋_GBK" w:hAnsi="方正小标宋_GBK" w:eastAsia="方正小标宋_GBK" w:cs="方正小标宋_GBK"/>
          <w:b w:val="0"/>
          <w:bCs w:val="0"/>
          <w:i w:val="0"/>
          <w:caps w:val="0"/>
          <w:color w:val="auto"/>
          <w:spacing w:val="0"/>
          <w:kern w:val="0"/>
          <w:sz w:val="44"/>
          <w:szCs w:val="44"/>
          <w:shd w:val="clear" w:color="auto" w:fill="auto"/>
          <w:lang w:val="en-US" w:eastAsia="zh-CN" w:bidi="ar"/>
        </w:rPr>
        <w:t>监管规划重大项目表</w:t>
      </w:r>
      <w:bookmarkEnd w:id="69"/>
      <w:bookmarkEnd w:id="70"/>
      <w:bookmarkEnd w:id="71"/>
      <w:bookmarkEnd w:id="72"/>
      <w:bookmarkEnd w:id="73"/>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textAlignment w:val="auto"/>
        <w:outlineLvl w:val="9"/>
        <w:rPr>
          <w:rFonts w:hint="eastAsia"/>
          <w:lang w:val="en-US" w:eastAsia="zh-CN"/>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
        <w:gridCol w:w="5091"/>
        <w:gridCol w:w="764"/>
        <w:gridCol w:w="2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u w:val="none"/>
                <w:shd w:val="clear" w:color="auto" w:fill="auto"/>
              </w:rPr>
            </w:pPr>
            <w:bookmarkStart w:id="74" w:name="_Toc19571"/>
            <w:r>
              <w:rPr>
                <w:rFonts w:hint="eastAsia" w:ascii="黑体" w:hAnsi="黑体" w:eastAsia="黑体" w:cs="黑体"/>
                <w:b w:val="0"/>
                <w:bCs/>
                <w:i w:val="0"/>
                <w:color w:val="auto"/>
                <w:kern w:val="0"/>
                <w:sz w:val="24"/>
                <w:szCs w:val="24"/>
                <w:u w:val="none"/>
                <w:shd w:val="clear" w:color="auto" w:fill="auto"/>
                <w:lang w:val="en-US" w:eastAsia="zh-CN" w:bidi="ar"/>
              </w:rPr>
              <w:t>序号</w:t>
            </w:r>
          </w:p>
        </w:tc>
        <w:tc>
          <w:tcPr>
            <w:tcW w:w="5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u w:val="none"/>
                <w:shd w:val="clear" w:color="auto" w:fill="auto"/>
              </w:rPr>
            </w:pPr>
            <w:r>
              <w:rPr>
                <w:rFonts w:hint="eastAsia" w:ascii="黑体" w:hAnsi="黑体" w:eastAsia="黑体" w:cs="黑体"/>
                <w:b w:val="0"/>
                <w:bCs/>
                <w:i w:val="0"/>
                <w:color w:val="auto"/>
                <w:kern w:val="0"/>
                <w:sz w:val="24"/>
                <w:szCs w:val="24"/>
                <w:u w:val="none"/>
                <w:shd w:val="clear" w:color="auto" w:fill="auto"/>
                <w:lang w:val="en-US" w:eastAsia="zh-CN" w:bidi="ar"/>
              </w:rPr>
              <w:t>项   目   名   称</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4"/>
                <w:szCs w:val="24"/>
                <w:u w:val="none"/>
                <w:shd w:val="clear" w:color="auto" w:fill="auto"/>
                <w:lang w:val="en-US" w:eastAsia="zh-CN" w:bidi="ar"/>
              </w:rPr>
            </w:pPr>
            <w:r>
              <w:rPr>
                <w:rFonts w:hint="eastAsia" w:ascii="黑体" w:hAnsi="黑体" w:eastAsia="黑体" w:cs="黑体"/>
                <w:b w:val="0"/>
                <w:bCs/>
                <w:i w:val="0"/>
                <w:color w:val="auto"/>
                <w:kern w:val="0"/>
                <w:sz w:val="24"/>
                <w:szCs w:val="24"/>
                <w:u w:val="none"/>
                <w:shd w:val="clear" w:color="auto" w:fill="auto"/>
                <w:lang w:val="en-US" w:eastAsia="zh-CN" w:bidi="ar"/>
              </w:rPr>
              <w:t>建设</w:t>
            </w:r>
          </w:p>
          <w:p>
            <w:pPr>
              <w:keepNext w:val="0"/>
              <w:keepLines w:val="0"/>
              <w:widowControl/>
              <w:suppressLineNumbers w:val="0"/>
              <w:jc w:val="center"/>
              <w:textAlignment w:val="center"/>
              <w:rPr>
                <w:rFonts w:hint="eastAsia" w:ascii="黑体" w:hAnsi="黑体" w:eastAsia="黑体" w:cs="黑体"/>
                <w:b w:val="0"/>
                <w:bCs/>
                <w:i w:val="0"/>
                <w:color w:val="auto"/>
                <w:sz w:val="24"/>
                <w:szCs w:val="24"/>
                <w:u w:val="none"/>
                <w:shd w:val="clear" w:color="auto" w:fill="auto"/>
              </w:rPr>
            </w:pPr>
            <w:r>
              <w:rPr>
                <w:rFonts w:hint="eastAsia" w:ascii="黑体" w:hAnsi="黑体" w:eastAsia="黑体" w:cs="黑体"/>
                <w:b w:val="0"/>
                <w:bCs/>
                <w:i w:val="0"/>
                <w:color w:val="auto"/>
                <w:kern w:val="0"/>
                <w:sz w:val="24"/>
                <w:szCs w:val="24"/>
                <w:u w:val="none"/>
                <w:shd w:val="clear" w:color="auto" w:fill="auto"/>
                <w:lang w:val="en-US" w:eastAsia="zh-CN" w:bidi="ar"/>
              </w:rPr>
              <w:t>性质</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u w:val="none"/>
                <w:shd w:val="clear" w:color="auto" w:fill="auto"/>
              </w:rPr>
            </w:pPr>
            <w:r>
              <w:rPr>
                <w:rFonts w:hint="eastAsia" w:ascii="黑体" w:hAnsi="黑体" w:eastAsia="黑体" w:cs="黑体"/>
                <w:b w:val="0"/>
                <w:bCs/>
                <w:i w:val="0"/>
                <w:color w:val="auto"/>
                <w:kern w:val="0"/>
                <w:sz w:val="24"/>
                <w:szCs w:val="24"/>
                <w:u w:val="none"/>
                <w:shd w:val="clear" w:color="auto" w:fill="auto"/>
                <w:lang w:val="en-US" w:eastAsia="zh-CN" w:bidi="ar"/>
              </w:rPr>
              <w:t>牵 头 单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auto"/>
                <w:sz w:val="24"/>
                <w:szCs w:val="24"/>
                <w:u w:val="none"/>
                <w:shd w:val="clear" w:color="auto" w:fill="auto"/>
              </w:rPr>
            </w:pPr>
            <w:r>
              <w:rPr>
                <w:rFonts w:hint="eastAsia" w:ascii="黑体" w:hAnsi="黑体" w:eastAsia="黑体" w:cs="黑体"/>
                <w:b w:val="0"/>
                <w:bCs/>
                <w:i w:val="0"/>
                <w:color w:val="auto"/>
                <w:kern w:val="0"/>
                <w:sz w:val="24"/>
                <w:szCs w:val="24"/>
                <w:u w:val="none"/>
                <w:shd w:val="clear" w:color="auto" w:fill="auto"/>
                <w:lang w:val="en-US" w:eastAsia="zh-CN" w:bidi="ar"/>
              </w:rPr>
              <w:t>一、服务高质量发展项目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1</w:t>
            </w:r>
          </w:p>
        </w:tc>
        <w:tc>
          <w:tcPr>
            <w:tcW w:w="5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推动高质量发展标准化提升建设项目</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新建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自治区市场监管局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2</w:t>
            </w:r>
          </w:p>
        </w:tc>
        <w:tc>
          <w:tcPr>
            <w:tcW w:w="5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绿色特色优势产业高质量发展工程项目</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新建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自治区市场监管局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3</w:t>
            </w:r>
          </w:p>
        </w:tc>
        <w:tc>
          <w:tcPr>
            <w:tcW w:w="5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内蒙古知识产权保护项目</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新建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自治区市场监管局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4</w:t>
            </w:r>
          </w:p>
        </w:tc>
        <w:tc>
          <w:tcPr>
            <w:tcW w:w="5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中国（内蒙古）知识产权保护中心建设项目</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新建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自治区知识产权保护中心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auto"/>
                <w:sz w:val="24"/>
                <w:szCs w:val="24"/>
                <w:u w:val="none"/>
                <w:shd w:val="clear" w:color="auto" w:fill="auto"/>
              </w:rPr>
            </w:pPr>
            <w:r>
              <w:rPr>
                <w:rFonts w:hint="eastAsia" w:ascii="黑体" w:hAnsi="黑体" w:eastAsia="黑体" w:cs="黑体"/>
                <w:b w:val="0"/>
                <w:bCs/>
                <w:i w:val="0"/>
                <w:color w:val="auto"/>
                <w:kern w:val="0"/>
                <w:sz w:val="24"/>
                <w:szCs w:val="24"/>
                <w:u w:val="none"/>
                <w:shd w:val="clear" w:color="auto" w:fill="auto"/>
                <w:lang w:val="en-US" w:eastAsia="zh-CN" w:bidi="ar"/>
              </w:rPr>
              <w:t>二、服务“两个基地”项目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5</w:t>
            </w:r>
          </w:p>
        </w:tc>
        <w:tc>
          <w:tcPr>
            <w:tcW w:w="5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国家乳制品产业计量测试中心建设项目</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新建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pacing w:val="-6"/>
                <w:sz w:val="24"/>
                <w:szCs w:val="24"/>
                <w:u w:val="none"/>
                <w:shd w:val="clear" w:color="auto" w:fill="auto"/>
              </w:rPr>
            </w:pPr>
            <w:r>
              <w:rPr>
                <w:rFonts w:hint="eastAsia" w:ascii="宋体" w:hAnsi="宋体" w:eastAsia="宋体" w:cs="宋体"/>
                <w:i w:val="0"/>
                <w:color w:val="auto"/>
                <w:spacing w:val="-6"/>
                <w:kern w:val="0"/>
                <w:sz w:val="24"/>
                <w:szCs w:val="24"/>
                <w:u w:val="none"/>
                <w:shd w:val="clear" w:color="auto" w:fill="auto"/>
                <w:lang w:val="en-US" w:eastAsia="zh-CN" w:bidi="ar"/>
              </w:rPr>
              <w:t>自治区计量测试研究院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6</w:t>
            </w:r>
          </w:p>
        </w:tc>
        <w:tc>
          <w:tcPr>
            <w:tcW w:w="5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国家市场监管重点实验室（能源和碳计量）、</w:t>
            </w:r>
            <w:r>
              <w:rPr>
                <w:rFonts w:hint="eastAsia" w:ascii="宋体" w:hAnsi="宋体" w:eastAsia="宋体" w:cs="宋体"/>
                <w:i w:val="0"/>
                <w:color w:val="auto"/>
                <w:spacing w:val="6"/>
                <w:kern w:val="0"/>
                <w:sz w:val="24"/>
                <w:szCs w:val="24"/>
                <w:u w:val="none"/>
                <w:shd w:val="clear" w:color="auto" w:fill="auto"/>
                <w:lang w:val="en-US" w:eastAsia="zh-CN" w:bidi="ar"/>
              </w:rPr>
              <w:t>内蒙古自治区能源计量技术研究重点实验室项目</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新建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pacing w:val="-6"/>
                <w:sz w:val="24"/>
                <w:szCs w:val="24"/>
                <w:u w:val="none"/>
                <w:shd w:val="clear" w:color="auto" w:fill="auto"/>
              </w:rPr>
            </w:pPr>
            <w:r>
              <w:rPr>
                <w:rFonts w:hint="eastAsia" w:ascii="宋体" w:hAnsi="宋体" w:eastAsia="宋体" w:cs="宋体"/>
                <w:i w:val="0"/>
                <w:color w:val="auto"/>
                <w:spacing w:val="-6"/>
                <w:kern w:val="0"/>
                <w:sz w:val="24"/>
                <w:szCs w:val="24"/>
                <w:u w:val="none"/>
                <w:shd w:val="clear" w:color="auto" w:fill="auto"/>
                <w:lang w:val="en-US" w:eastAsia="zh-CN" w:bidi="ar"/>
              </w:rPr>
              <w:t>自治区计量测试研究院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7</w:t>
            </w:r>
          </w:p>
        </w:tc>
        <w:tc>
          <w:tcPr>
            <w:tcW w:w="5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内蒙古自治区重点用能单位能耗在线监测系统项目</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扩建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pacing w:val="-6"/>
                <w:sz w:val="24"/>
                <w:szCs w:val="24"/>
                <w:u w:val="none"/>
                <w:shd w:val="clear" w:color="auto" w:fill="auto"/>
              </w:rPr>
            </w:pPr>
            <w:r>
              <w:rPr>
                <w:rFonts w:hint="eastAsia" w:ascii="宋体" w:hAnsi="宋体" w:eastAsia="宋体" w:cs="宋体"/>
                <w:i w:val="0"/>
                <w:color w:val="auto"/>
                <w:spacing w:val="-6"/>
                <w:kern w:val="0"/>
                <w:sz w:val="24"/>
                <w:szCs w:val="24"/>
                <w:u w:val="none"/>
                <w:shd w:val="clear" w:color="auto" w:fill="auto"/>
                <w:lang w:val="en-US" w:eastAsia="zh-CN" w:bidi="ar"/>
              </w:rPr>
              <w:t>自治区计量测试研究院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8</w:t>
            </w:r>
          </w:p>
        </w:tc>
        <w:tc>
          <w:tcPr>
            <w:tcW w:w="5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工业产品检验监测能力提升项目</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续建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自治区产品质量检验研究院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9</w:t>
            </w:r>
          </w:p>
        </w:tc>
        <w:tc>
          <w:tcPr>
            <w:tcW w:w="5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spacing w:val="-6"/>
                <w:kern w:val="0"/>
                <w:sz w:val="24"/>
                <w:szCs w:val="24"/>
                <w:u w:val="none"/>
                <w:shd w:val="clear" w:color="auto" w:fill="auto"/>
                <w:lang w:val="en-US" w:eastAsia="zh-CN" w:bidi="ar"/>
              </w:rPr>
              <w:t>开展“蒙”字标认证  打造内蒙古品牌建设项目</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续建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自治区市场监管局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10</w:t>
            </w:r>
          </w:p>
        </w:tc>
        <w:tc>
          <w:tcPr>
            <w:tcW w:w="5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推动地方特色乳制品产业发展行动建设项目</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续建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自治区市场监管局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auto"/>
                <w:sz w:val="24"/>
                <w:szCs w:val="24"/>
                <w:u w:val="none"/>
                <w:shd w:val="clear" w:color="auto" w:fill="auto"/>
              </w:rPr>
            </w:pPr>
            <w:r>
              <w:rPr>
                <w:rFonts w:hint="eastAsia" w:ascii="黑体" w:hAnsi="黑体" w:eastAsia="黑体" w:cs="黑体"/>
                <w:b w:val="0"/>
                <w:bCs/>
                <w:i w:val="0"/>
                <w:color w:val="auto"/>
                <w:kern w:val="0"/>
                <w:sz w:val="24"/>
                <w:szCs w:val="24"/>
                <w:u w:val="none"/>
                <w:shd w:val="clear" w:color="auto" w:fill="auto"/>
                <w:lang w:val="en-US" w:eastAsia="zh-CN" w:bidi="ar"/>
              </w:rPr>
              <w:t>三、守住安全底线项目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11</w:t>
            </w:r>
          </w:p>
        </w:tc>
        <w:tc>
          <w:tcPr>
            <w:tcW w:w="5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内蒙古基层市场监管所标准化建设项目</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新建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自治区市场监管局及各盟市市场监管局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12</w:t>
            </w:r>
          </w:p>
        </w:tc>
        <w:tc>
          <w:tcPr>
            <w:tcW w:w="5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自治区食品安全检验检测机构建设项目</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续建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自治区产品质量检验研究院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13</w:t>
            </w:r>
          </w:p>
        </w:tc>
        <w:tc>
          <w:tcPr>
            <w:tcW w:w="5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智慧市场监管信息化建设项目</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新建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自治区市场监管局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14</w:t>
            </w:r>
          </w:p>
        </w:tc>
        <w:tc>
          <w:tcPr>
            <w:tcW w:w="5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内蒙古煤及石化装备安全技术工程中心项目</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新建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自治区特种设备检验研究院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15</w:t>
            </w:r>
          </w:p>
        </w:tc>
        <w:tc>
          <w:tcPr>
            <w:tcW w:w="5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内蒙古自治区特种设备绿色发展技术创新中心</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新建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自治区特种设备检验研究院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16</w:t>
            </w:r>
          </w:p>
        </w:tc>
        <w:tc>
          <w:tcPr>
            <w:tcW w:w="5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食用农产品批发市场食品安全管理标准化规范建设项目</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续建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shd w:val="clear" w:color="auto" w:fill="auto"/>
              </w:rPr>
            </w:pPr>
            <w:r>
              <w:rPr>
                <w:rFonts w:hint="eastAsia" w:ascii="宋体" w:hAnsi="宋体" w:eastAsia="宋体" w:cs="宋体"/>
                <w:i w:val="0"/>
                <w:color w:val="auto"/>
                <w:kern w:val="0"/>
                <w:sz w:val="24"/>
                <w:szCs w:val="24"/>
                <w:u w:val="none"/>
                <w:shd w:val="clear" w:color="auto" w:fill="auto"/>
                <w:lang w:val="en-US" w:eastAsia="zh-CN" w:bidi="ar"/>
              </w:rPr>
              <w:t>自治区市场监管局</w:t>
            </w:r>
          </w:p>
        </w:tc>
      </w:tr>
    </w:tbl>
    <w:p>
      <w:pPr>
        <w:rPr>
          <w:color w:val="auto"/>
          <w:shd w:val="clear" w:color="auto" w:fill="auto"/>
        </w:rPr>
      </w:pPr>
    </w:p>
    <w:bookmarkEnd w:id="74"/>
    <w:p>
      <w:pPr>
        <w:pStyle w:val="2"/>
        <w:rPr>
          <w:rFonts w:hint="eastAsia"/>
        </w:rPr>
      </w:pPr>
    </w:p>
    <w:p>
      <w:pPr>
        <w:pStyle w:val="3"/>
        <w:rPr>
          <w:rFonts w:hint="eastAsia"/>
        </w:rPr>
      </w:pPr>
    </w:p>
    <w:p>
      <w:pPr>
        <w:pStyle w:val="2"/>
        <w:rPr>
          <w:rFonts w:hint="eastAsia"/>
        </w:rPr>
      </w:pPr>
    </w:p>
    <w:p>
      <w:pPr>
        <w:pStyle w:val="3"/>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pStyle w:val="3"/>
        <w:rPr>
          <w:rFonts w:hint="eastAsia"/>
        </w:rPr>
      </w:pPr>
    </w:p>
    <w:p>
      <w:pPr>
        <w:pStyle w:val="2"/>
        <w:rPr>
          <w:rFonts w:hint="eastAsia"/>
        </w:rPr>
      </w:pPr>
    </w:p>
    <w:p>
      <w:pPr>
        <w:rPr>
          <w:rFonts w:hint="eastAsia"/>
        </w:rPr>
      </w:pPr>
    </w:p>
    <w:p>
      <w:pPr>
        <w:pStyle w:val="2"/>
        <w:rPr>
          <w:rFonts w:hint="eastAsia"/>
        </w:rPr>
      </w:pPr>
    </w:p>
    <w:p>
      <w:pPr>
        <w:rPr>
          <w:rFonts w:hint="eastAsia"/>
        </w:rPr>
      </w:pPr>
    </w:p>
    <w:tbl>
      <w:tblPr>
        <w:tblStyle w:val="13"/>
        <w:tblW w:w="0" w:type="auto"/>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788"/>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wBefore w:w="0" w:type="dxa"/>
          <w:jc w:val="center"/>
        </w:trPr>
        <w:tc>
          <w:tcPr>
            <w:tcW w:w="878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315" w:leftChars="150" w:right="315" w:rightChars="150" w:firstLine="0" w:firstLineChars="0"/>
              <w:jc w:val="both"/>
              <w:textAlignment w:val="auto"/>
              <w:outlineLvl w:val="9"/>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153" w:leftChars="549" w:right="315" w:rightChars="150" w:firstLine="0" w:firstLineChars="0"/>
              <w:jc w:val="both"/>
              <w:textAlignment w:val="auto"/>
              <w:outlineLvl w:val="9"/>
              <w:rPr>
                <w:rFonts w:ascii="仿宋_GB2312" w:eastAsia="仿宋_GB2312"/>
                <w:sz w:val="28"/>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r>
              <w:rPr>
                <w:rFonts w:hint="eastAsia" w:ascii="仿宋_GB2312" w:eastAsia="仿宋_GB2312"/>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315" w:leftChars="150" w:right="315" w:rightChars="150" w:firstLine="840" w:firstLineChars="300"/>
              <w:jc w:val="both"/>
              <w:textAlignment w:val="auto"/>
              <w:outlineLvl w:val="9"/>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wBefore w:w="0" w:type="dxa"/>
          <w:jc w:val="center"/>
        </w:trPr>
        <w:tc>
          <w:tcPr>
            <w:tcW w:w="878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ind w:left="315" w:leftChars="150" w:right="315" w:rightChars="150" w:firstLine="0" w:firstLineChars="0"/>
              <w:jc w:val="both"/>
              <w:textAlignment w:val="auto"/>
              <w:outlineLvl w:val="9"/>
              <w:rPr>
                <w:rFonts w:ascii="仿宋_GB2312" w:eastAsia="仿宋_GB2312"/>
                <w:sz w:val="28"/>
              </w:rPr>
            </w:pPr>
            <w:r>
              <w:rPr>
                <w:rFonts w:hint="eastAsia" w:ascii="仿宋_GB2312" w:eastAsia="仿宋_GB2312"/>
                <w:sz w:val="28"/>
              </w:rPr>
              <w:t xml:space="preserve">内蒙古自治区人民政府办公厅文电处     </w:t>
            </w:r>
            <w:r>
              <w:rPr>
                <w:rFonts w:hint="eastAsia" w:ascii="仿宋_GB2312" w:eastAsia="仿宋_GB2312"/>
                <w:sz w:val="28"/>
                <w:lang w:val="en-US" w:eastAsia="zh-CN"/>
              </w:rPr>
              <w:t xml:space="preserve"> </w:t>
            </w:r>
            <w:r>
              <w:rPr>
                <w:rFonts w:hint="eastAsia" w:ascii="仿宋_GB2312" w:eastAsia="仿宋_GB2312"/>
                <w:sz w:val="28"/>
              </w:rPr>
              <w:t>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12</w:t>
            </w:r>
            <w:r>
              <w:rPr>
                <w:rFonts w:hint="eastAsia" w:ascii="仿宋_GB2312" w:eastAsia="仿宋_GB2312"/>
                <w:sz w:val="28"/>
              </w:rPr>
              <w:t>月</w:t>
            </w:r>
            <w:r>
              <w:rPr>
                <w:rFonts w:hint="eastAsia" w:ascii="仿宋_GB2312" w:eastAsia="仿宋_GB2312"/>
                <w:sz w:val="28"/>
                <w:lang w:val="en-US" w:eastAsia="zh-CN"/>
              </w:rPr>
              <w:t>8</w:t>
            </w:r>
            <w:r>
              <w:rPr>
                <w:rFonts w:hint="eastAsia" w:ascii="仿宋_GB2312" w:eastAsia="仿宋_GB2312"/>
                <w:sz w:val="28"/>
              </w:rPr>
              <w:t>日印发</w:t>
            </w:r>
          </w:p>
        </w:tc>
      </w:tr>
    </w:tbl>
    <w:p>
      <w:pPr>
        <w:spacing w:line="20" w:lineRule="exact"/>
        <w:rPr>
          <w:rFonts w:hint="eastAsia"/>
        </w:rPr>
      </w:pPr>
    </w:p>
    <w:bookmarkEnd w:id="75"/>
    <w:sectPr>
      <w:headerReference r:id="rId5" w:type="default"/>
      <w:footerReference r:id="rId7" w:type="default"/>
      <w:headerReference r:id="rId6" w:type="even"/>
      <w:footerReference r:id="rId8" w:type="even"/>
      <w:pgSz w:w="11906" w:h="16838"/>
      <w:pgMar w:top="2041" w:right="1474" w:bottom="1871" w:left="1531" w:header="851" w:footer="1417"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ongolian Baiti">
    <w:altName w:val="DejaVu Math TeX Gyre"/>
    <w:panose1 w:val="03000500000000000000"/>
    <w:charset w:val="00"/>
    <w:family w:val="script"/>
    <w:pitch w:val="default"/>
    <w:sig w:usb0="80000023" w:usb1="00000000" w:usb2="00020000" w:usb3="00000000" w:csb0="00000001" w:csb1="00000000"/>
  </w:font>
  <w:font w:name="Calibri Light">
    <w:altName w:val="DejaVu Sans"/>
    <w:panose1 w:val="020F0302020204030204"/>
    <w:charset w:val="00"/>
    <w:family w:val="swiss"/>
    <w:pitch w:val="default"/>
    <w:sig w:usb0="A00002EF" w:usb1="4000207B" w:usb2="00000000" w:usb3="00000000" w:csb0="2000019F" w:csb1="00000000"/>
  </w:font>
  <w:font w:name="Arial Unicode MS">
    <w:altName w:val="DejaVu Sans"/>
    <w:panose1 w:val="020B0604020202020204"/>
    <w:charset w:val="00"/>
    <w:family w:val="auto"/>
    <w:pitch w:val="default"/>
    <w:sig w:usb0="FFFFFFFF" w:usb1="E9FFFFFF" w:usb2="0000003F" w:usb3="00000000" w:csb0="603F01FF" w:csb1="FFFF0000"/>
  </w:font>
  <w:font w:name="Helvetica Neue">
    <w:altName w:val="宋体"/>
    <w:panose1 w:val="00000000000000000000"/>
    <w:charset w:val="00"/>
    <w:family w:val="auto"/>
    <w:pitch w:val="default"/>
    <w:sig w:usb0="00000000" w:usb1="00000000" w:usb2="00000000" w:usb3="00000000" w:csb0="00040001" w:csb1="00000000"/>
  </w:font>
  <w:font w:name="永中宋体">
    <w:altName w:val="方正书宋_GBK"/>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等线">
    <w:altName w:val="宋体"/>
    <w:panose1 w:val="02010600030101010101"/>
    <w:charset w:val="00"/>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pBdr>
        <w:top w:val="none" w:color="auto" w:sz="0" w:space="0"/>
        <w:left w:val="none" w:color="auto" w:sz="0" w:space="0"/>
        <w:bottom w:val="none" w:color="auto" w:sz="0" w:space="0"/>
        <w:right w:val="none" w:color="auto" w:sz="0" w:space="0"/>
      </w:pBd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p>
    <w:pPr>
      <w:pStyle w:val="10"/>
      <w:jc w:val="center"/>
      <w:rPr>
        <w:rFonts w:hint="eastAsia" w:ascii="仿宋" w:hAnsi="仿宋" w:eastAsia="仿宋" w:cs="仿宋"/>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pBdr>
        <w:top w:val="none" w:color="auto" w:sz="0" w:space="0"/>
        <w:left w:val="none" w:color="auto" w:sz="0" w:space="0"/>
        <w:bottom w:val="none" w:color="auto" w:sz="0" w:space="0"/>
        <w:right w:val="none" w:color="auto" w:sz="0" w:space="0"/>
      </w:pBd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- 2 -</w:t>
    </w:r>
    <w:r>
      <w:rPr>
        <w:rFonts w:hint="eastAsia" w:ascii="仿宋" w:hAnsi="仿宋" w:eastAsia="仿宋" w:cs="仿宋"/>
        <w:sz w:val="28"/>
        <w:szCs w:val="28"/>
        <w:lang w:eastAsia="zh-CN"/>
      </w:rPr>
      <w:fldChar w:fldCharType="end"/>
    </w:r>
  </w:p>
  <w:p>
    <w:pPr>
      <w:pStyle w:val="10"/>
      <w:jc w:val="center"/>
      <w:rPr>
        <w:rFonts w:hint="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pBdr>
        <w:top w:val="none" w:color="auto" w:sz="0" w:space="0"/>
        <w:left w:val="none" w:color="auto" w:sz="0" w:space="0"/>
        <w:bottom w:val="none" w:color="auto" w:sz="0" w:space="0"/>
        <w:right w:val="none" w:color="auto" w:sz="0" w:space="0"/>
      </w:pBd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- 37 -</w:t>
    </w:r>
    <w:r>
      <w:rPr>
        <w:rFonts w:hint="eastAsia" w:ascii="仿宋" w:hAnsi="仿宋" w:eastAsia="仿宋" w:cs="仿宋"/>
        <w:sz w:val="28"/>
        <w:szCs w:val="28"/>
        <w:lang w:eastAsia="zh-CN"/>
      </w:rPr>
      <w:fldChar w:fldCharType="end"/>
    </w:r>
  </w:p>
  <w:p>
    <w:pPr>
      <w:pStyle w:val="10"/>
      <w:jc w:val="center"/>
      <w:rPr>
        <w:rFonts w:hint="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pBdr>
        <w:top w:val="none" w:color="auto" w:sz="0" w:space="0"/>
        <w:left w:val="none" w:color="auto" w:sz="0" w:space="0"/>
        <w:bottom w:val="none" w:color="auto" w:sz="0" w:space="0"/>
        <w:right w:val="none" w:color="auto" w:sz="0" w:space="0"/>
      </w:pBd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- 38 -</w:t>
    </w:r>
    <w:r>
      <w:rPr>
        <w:rFonts w:hint="eastAsia" w:ascii="仿宋" w:hAnsi="仿宋" w:eastAsia="仿宋" w:cs="仿宋"/>
        <w:sz w:val="28"/>
        <w:szCs w:val="28"/>
        <w:lang w:eastAsia="zh-CN"/>
      </w:rPr>
      <w:fldChar w:fldCharType="end"/>
    </w:r>
  </w:p>
  <w:p>
    <w:pPr>
      <w:pStyle w:val="10"/>
      <w:jc w:val="center"/>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94729"/>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26B8"/>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23B43DC"/>
    <w:rsid w:val="055E7ED0"/>
    <w:rsid w:val="074D26E8"/>
    <w:rsid w:val="07AC5A29"/>
    <w:rsid w:val="0BE57086"/>
    <w:rsid w:val="0DEF822D"/>
    <w:rsid w:val="0E5C390B"/>
    <w:rsid w:val="11B46D6A"/>
    <w:rsid w:val="11FD1490"/>
    <w:rsid w:val="148975E5"/>
    <w:rsid w:val="17DD5EC1"/>
    <w:rsid w:val="18C400AC"/>
    <w:rsid w:val="1A7D41CF"/>
    <w:rsid w:val="1BEFBFF8"/>
    <w:rsid w:val="1EB7CF02"/>
    <w:rsid w:val="1FCE733F"/>
    <w:rsid w:val="1FD3237E"/>
    <w:rsid w:val="218E51CC"/>
    <w:rsid w:val="21CE0EBF"/>
    <w:rsid w:val="26243A15"/>
    <w:rsid w:val="2774197F"/>
    <w:rsid w:val="28F523D2"/>
    <w:rsid w:val="2D9103D6"/>
    <w:rsid w:val="2ED848AF"/>
    <w:rsid w:val="2FF79E46"/>
    <w:rsid w:val="309A4101"/>
    <w:rsid w:val="37AF59CA"/>
    <w:rsid w:val="3C5FA9B0"/>
    <w:rsid w:val="3DAC210D"/>
    <w:rsid w:val="3F3C5C08"/>
    <w:rsid w:val="3FBDD7F4"/>
    <w:rsid w:val="3FF7A8AC"/>
    <w:rsid w:val="426D2003"/>
    <w:rsid w:val="43BF805B"/>
    <w:rsid w:val="453259A2"/>
    <w:rsid w:val="4BB12688"/>
    <w:rsid w:val="4BD31ED7"/>
    <w:rsid w:val="4BF93536"/>
    <w:rsid w:val="4C761B8F"/>
    <w:rsid w:val="4EDFE725"/>
    <w:rsid w:val="53515BB6"/>
    <w:rsid w:val="56C1610E"/>
    <w:rsid w:val="577EA909"/>
    <w:rsid w:val="57AF58B4"/>
    <w:rsid w:val="57D73D9D"/>
    <w:rsid w:val="5A170649"/>
    <w:rsid w:val="5ABB3AB2"/>
    <w:rsid w:val="5AFF01C9"/>
    <w:rsid w:val="5BAE3879"/>
    <w:rsid w:val="5BFF039A"/>
    <w:rsid w:val="5DFF03B2"/>
    <w:rsid w:val="5EFF16F3"/>
    <w:rsid w:val="5F7F6858"/>
    <w:rsid w:val="5F997C9C"/>
    <w:rsid w:val="5FBE00A7"/>
    <w:rsid w:val="613C6D24"/>
    <w:rsid w:val="63B94729"/>
    <w:rsid w:val="63E64AAD"/>
    <w:rsid w:val="64B86B45"/>
    <w:rsid w:val="65C037EB"/>
    <w:rsid w:val="65D019A5"/>
    <w:rsid w:val="65FEEA71"/>
    <w:rsid w:val="66FC1982"/>
    <w:rsid w:val="67F728FE"/>
    <w:rsid w:val="690A60D7"/>
    <w:rsid w:val="6B282D90"/>
    <w:rsid w:val="6BD7B27B"/>
    <w:rsid w:val="6D7F8AF7"/>
    <w:rsid w:val="6DE94A9B"/>
    <w:rsid w:val="6E5F47F6"/>
    <w:rsid w:val="6E6114F4"/>
    <w:rsid w:val="6EC20CBC"/>
    <w:rsid w:val="6EFFEC08"/>
    <w:rsid w:val="6F263FD7"/>
    <w:rsid w:val="6F2C465B"/>
    <w:rsid w:val="6F7989A7"/>
    <w:rsid w:val="6FBB8230"/>
    <w:rsid w:val="6FFDC7F7"/>
    <w:rsid w:val="7179738D"/>
    <w:rsid w:val="72E70D61"/>
    <w:rsid w:val="72FF1BBB"/>
    <w:rsid w:val="73FF84E9"/>
    <w:rsid w:val="766D907C"/>
    <w:rsid w:val="76FF3763"/>
    <w:rsid w:val="76FFAE37"/>
    <w:rsid w:val="775917AA"/>
    <w:rsid w:val="77A80EEF"/>
    <w:rsid w:val="77F6B383"/>
    <w:rsid w:val="77FFB6B3"/>
    <w:rsid w:val="78963006"/>
    <w:rsid w:val="78E569BA"/>
    <w:rsid w:val="7B7FC12D"/>
    <w:rsid w:val="7BDB5A09"/>
    <w:rsid w:val="7CEF24D2"/>
    <w:rsid w:val="7CFF12FC"/>
    <w:rsid w:val="7D164783"/>
    <w:rsid w:val="7D7DBE4B"/>
    <w:rsid w:val="7DBA2133"/>
    <w:rsid w:val="7E960D71"/>
    <w:rsid w:val="7EAD265B"/>
    <w:rsid w:val="7EBF610E"/>
    <w:rsid w:val="7EDFE14F"/>
    <w:rsid w:val="7EFD9972"/>
    <w:rsid w:val="7F3D9DBF"/>
    <w:rsid w:val="7F4E6EF9"/>
    <w:rsid w:val="7F9CE9A9"/>
    <w:rsid w:val="7FBDB073"/>
    <w:rsid w:val="7FCCC8AC"/>
    <w:rsid w:val="7FE64640"/>
    <w:rsid w:val="7FEF7E32"/>
    <w:rsid w:val="7FEF96C2"/>
    <w:rsid w:val="7FFB9D14"/>
    <w:rsid w:val="7FFF311E"/>
    <w:rsid w:val="7FFFD4EB"/>
    <w:rsid w:val="7FFFFE18"/>
    <w:rsid w:val="8FFDE78E"/>
    <w:rsid w:val="93F2E226"/>
    <w:rsid w:val="95DD9DCD"/>
    <w:rsid w:val="9DEB388C"/>
    <w:rsid w:val="9DF6CA27"/>
    <w:rsid w:val="A0E3EBDD"/>
    <w:rsid w:val="A7FB9F4E"/>
    <w:rsid w:val="AF737862"/>
    <w:rsid w:val="AFEF6FBB"/>
    <w:rsid w:val="AFFE97C9"/>
    <w:rsid w:val="B3DFCF99"/>
    <w:rsid w:val="B57BDCC3"/>
    <w:rsid w:val="B7DF6221"/>
    <w:rsid w:val="BC4B6B39"/>
    <w:rsid w:val="BD7FCCF6"/>
    <w:rsid w:val="BED7E30C"/>
    <w:rsid w:val="BF309EE7"/>
    <w:rsid w:val="CBCB9082"/>
    <w:rsid w:val="D5AF1138"/>
    <w:rsid w:val="D7A72973"/>
    <w:rsid w:val="D7BEBC75"/>
    <w:rsid w:val="DDB94824"/>
    <w:rsid w:val="DEAF2D0F"/>
    <w:rsid w:val="DEBEC639"/>
    <w:rsid w:val="DF3AA67A"/>
    <w:rsid w:val="DF5F3D20"/>
    <w:rsid w:val="DF93CEC1"/>
    <w:rsid w:val="DFEFFCC0"/>
    <w:rsid w:val="E6E7DCF6"/>
    <w:rsid w:val="EBEBA9B2"/>
    <w:rsid w:val="ECDDCE17"/>
    <w:rsid w:val="EEF4F790"/>
    <w:rsid w:val="EEFC62EC"/>
    <w:rsid w:val="EFEE3572"/>
    <w:rsid w:val="EFFB70A8"/>
    <w:rsid w:val="F3DF7448"/>
    <w:rsid w:val="F5BFBB85"/>
    <w:rsid w:val="F5FD5BBD"/>
    <w:rsid w:val="F5FDB5C3"/>
    <w:rsid w:val="F65EAB9B"/>
    <w:rsid w:val="F6FF9D80"/>
    <w:rsid w:val="F7BDDF5F"/>
    <w:rsid w:val="F7C70F3D"/>
    <w:rsid w:val="F7EFA979"/>
    <w:rsid w:val="F868B38D"/>
    <w:rsid w:val="F97DCAE6"/>
    <w:rsid w:val="FA7A8B3D"/>
    <w:rsid w:val="FAF6085A"/>
    <w:rsid w:val="FB27707F"/>
    <w:rsid w:val="FBDFA5A5"/>
    <w:rsid w:val="FD7A000E"/>
    <w:rsid w:val="FD9FCB26"/>
    <w:rsid w:val="FDE10542"/>
    <w:rsid w:val="FDFD22B8"/>
    <w:rsid w:val="FEE91CC7"/>
    <w:rsid w:val="FF3F73CE"/>
    <w:rsid w:val="FF3FF331"/>
    <w:rsid w:val="FF6FBBB2"/>
    <w:rsid w:val="FFD33D64"/>
    <w:rsid w:val="FFDFF81B"/>
    <w:rsid w:val="FFE297CC"/>
    <w:rsid w:val="FFE99F30"/>
    <w:rsid w:val="FFEFC794"/>
    <w:rsid w:val="FFFD72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qFormat/>
    <w:uiPriority w:val="0"/>
    <w:pPr>
      <w:keepNext/>
      <w:keepLines/>
      <w:spacing w:beforeLines="100" w:afterLines="50"/>
      <w:outlineLvl w:val="0"/>
    </w:pPr>
    <w:rPr>
      <w:rFonts w:ascii="Calibri" w:hAnsi="Calibri" w:eastAsia="黑体" w:cs="Mongolian Baiti"/>
      <w:b/>
      <w:bCs/>
      <w:kern w:val="44"/>
      <w:szCs w:val="44"/>
      <w:lang w:bidi="mn-Mong-CN"/>
    </w:rPr>
  </w:style>
  <w:style w:type="paragraph" w:styleId="5">
    <w:name w:val="heading 2"/>
    <w:basedOn w:val="3"/>
    <w:next w:val="1"/>
    <w:unhideWhenUsed/>
    <w:qFormat/>
    <w:uiPriority w:val="0"/>
    <w:pPr>
      <w:keepNext/>
      <w:keepLines/>
      <w:spacing w:beforeLines="100" w:afterLines="50"/>
      <w:outlineLvl w:val="1"/>
    </w:pPr>
    <w:rPr>
      <w:rFonts w:ascii="黑体" w:hAnsi="Calibri Light" w:eastAsia="黑体" w:cs="Times New Roman"/>
      <w:bCs/>
      <w:szCs w:val="32"/>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2">
    <w:name w:val="Body Text"/>
    <w:basedOn w:val="1"/>
    <w:next w:val="3"/>
    <w:uiPriority w:val="0"/>
    <w:pPr>
      <w:spacing w:after="120"/>
    </w:pPr>
    <w:rPr>
      <w:rFonts w:ascii="Calibri" w:hAnsi="Calibri" w:eastAsia="宋体" w:cs="Times New Roman"/>
      <w:sz w:val="21"/>
      <w:szCs w:val="22"/>
      <w:lang w:bidi="ar-SA"/>
    </w:rPr>
  </w:style>
  <w:style w:type="paragraph" w:customStyle="1" w:styleId="3">
    <w:name w:val="正文 A"/>
    <w:next w:val="2"/>
    <w:qFormat/>
    <w:uiPriority w:val="0"/>
    <w:pPr>
      <w:widowControl w:val="0"/>
      <w:jc w:val="both"/>
    </w:pPr>
    <w:rPr>
      <w:rFonts w:ascii="Calibri" w:hAnsi="Calibri" w:eastAsia="Arial Unicode MS" w:cs="Arial Unicode MS"/>
      <w:color w:val="000000"/>
      <w:kern w:val="2"/>
      <w:sz w:val="32"/>
      <w:szCs w:val="32"/>
      <w:lang w:val="en-US" w:eastAsia="zh-CN" w:bidi="ar-SA"/>
    </w:rPr>
  </w:style>
  <w:style w:type="paragraph" w:styleId="6">
    <w:name w:val="Document Map"/>
    <w:basedOn w:val="1"/>
    <w:semiHidden/>
    <w:uiPriority w:val="0"/>
    <w:pPr>
      <w:shd w:val="clear" w:color="auto" w:fill="000080"/>
    </w:pPr>
  </w:style>
  <w:style w:type="paragraph" w:styleId="7">
    <w:name w:val="Body Text Indent"/>
    <w:basedOn w:val="1"/>
    <w:uiPriority w:val="0"/>
    <w:pPr>
      <w:widowControl w:val="0"/>
      <w:spacing w:after="120"/>
      <w:ind w:left="200" w:leftChars="200"/>
      <w:jc w:val="both"/>
    </w:pPr>
    <w:rPr>
      <w:rFonts w:ascii="Helvetica Neue" w:hAnsi="Helvetica Neue" w:eastAsia="宋体" w:cs="永中宋体"/>
      <w:kern w:val="2"/>
      <w:sz w:val="21"/>
      <w:szCs w:val="22"/>
      <w:lang w:bidi="mn-Mong-CN"/>
    </w:rPr>
  </w:style>
  <w:style w:type="paragraph" w:styleId="8">
    <w:name w:val="Date"/>
    <w:basedOn w:val="1"/>
    <w:next w:val="1"/>
    <w:link w:val="17"/>
    <w:uiPriority w:val="0"/>
    <w:pPr>
      <w:ind w:left="100" w:leftChars="2500"/>
    </w:pPr>
    <w:rPr>
      <w:rFonts w:ascii="仿宋_GB2312" w:eastAsia="仿宋_GB2312"/>
      <w:sz w:val="32"/>
    </w:rPr>
  </w:style>
  <w:style w:type="paragraph" w:styleId="9">
    <w:name w:val="Balloon Text"/>
    <w:basedOn w:val="1"/>
    <w:semiHidden/>
    <w:uiPriority w:val="0"/>
    <w:rPr>
      <w:sz w:val="18"/>
      <w:szCs w:val="18"/>
    </w:rPr>
  </w:style>
  <w:style w:type="paragraph" w:styleId="10">
    <w:name w:val="footer"/>
    <w:basedOn w:val="1"/>
    <w:link w:val="18"/>
    <w:uiPriority w:val="0"/>
    <w:pPr>
      <w:tabs>
        <w:tab w:val="center" w:pos="4153"/>
        <w:tab w:val="right" w:pos="8306"/>
      </w:tabs>
      <w:snapToGrid w:val="0"/>
      <w:jc w:val="left"/>
    </w:pPr>
    <w:rPr>
      <w:sz w:val="18"/>
      <w:szCs w:val="18"/>
    </w:rPr>
  </w:style>
  <w:style w:type="paragraph" w:styleId="11">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next w:val="1"/>
    <w:uiPriority w:val="0"/>
    <w:pPr>
      <w:ind w:firstLine="420" w:firstLineChars="200"/>
    </w:pPr>
    <w:rPr>
      <w:rFonts w:ascii="Times New Roman" w:hAnsi="Times New Roman" w:eastAsia="宋体" w:cs="Times New Roman"/>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iPriority w:val="0"/>
  </w:style>
  <w:style w:type="character" w:customStyle="1" w:styleId="17">
    <w:name w:val=" Char Char2"/>
    <w:basedOn w:val="15"/>
    <w:link w:val="8"/>
    <w:uiPriority w:val="0"/>
    <w:rPr>
      <w:rFonts w:ascii="仿宋_GB2312" w:hAnsi="Times New Roman" w:eastAsia="仿宋_GB2312" w:cs="Times New Roman"/>
      <w:kern w:val="2"/>
      <w:sz w:val="32"/>
      <w:szCs w:val="24"/>
      <w:lang w:bidi="ar-SA"/>
    </w:rPr>
  </w:style>
  <w:style w:type="character" w:customStyle="1" w:styleId="18">
    <w:name w:val=" Char Char"/>
    <w:basedOn w:val="15"/>
    <w:link w:val="10"/>
    <w:semiHidden/>
    <w:uiPriority w:val="99"/>
    <w:rPr>
      <w:rFonts w:ascii="Calibri" w:hAnsi="Calibri" w:eastAsia="宋体" w:cs="Mongolian Baiti"/>
      <w:kern w:val="2"/>
      <w:sz w:val="18"/>
      <w:szCs w:val="22"/>
    </w:rPr>
  </w:style>
  <w:style w:type="character" w:customStyle="1" w:styleId="19">
    <w:name w:val=" Char Char1"/>
    <w:basedOn w:val="15"/>
    <w:link w:val="11"/>
    <w:semiHidden/>
    <w:uiPriority w:val="99"/>
    <w:rPr>
      <w:rFonts w:ascii="Calibri" w:hAnsi="Calibri" w:eastAsia="宋体" w:cs="Mongolian Baiti"/>
      <w:kern w:val="2"/>
      <w:sz w:val="18"/>
      <w:szCs w:val="22"/>
    </w:rPr>
  </w:style>
  <w:style w:type="paragraph" w:styleId="20">
    <w:name w:val="List Paragraph"/>
    <w:basedOn w:val="1"/>
    <w:qFormat/>
    <w:uiPriority w:val="0"/>
    <w:pPr>
      <w:ind w:firstLine="200" w:firstLineChars="200"/>
    </w:pPr>
    <w:rPr>
      <w:rFonts w:ascii="Times New Roman" w:hAnsi="Times New Roman" w:eastAsia="宋体" w:cs="Times New Roman"/>
      <w:szCs w:val="28"/>
      <w:lang w:bidi="mn-Mong-CN"/>
    </w:rPr>
  </w:style>
  <w:style w:type="paragraph" w:customStyle="1" w:styleId="21">
    <w:name w:val="_Style 1"/>
    <w:basedOn w:val="1"/>
    <w:qFormat/>
    <w:uiPriority w:val="0"/>
    <w:pPr>
      <w:ind w:firstLine="200" w:firstLineChars="200"/>
    </w:pPr>
    <w:rPr>
      <w:rFonts w:ascii="Times New Roman" w:hAnsi="Times New Roman" w:eastAsia="宋体" w:cs="Times New Roman"/>
      <w:szCs w:val="28"/>
      <w:lang w:bidi="mn-Mong-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7</TotalTime>
  <ScaleCrop>false</ScaleCrop>
  <LinksUpToDate>false</LinksUpToDate>
  <CharactersWithSpaces>101</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2012-09-19T20:59:00Z</dcterms:created>
  <dc:creator>阿拉善盟行政公署:打印</dc:creator>
  <cp:lastModifiedBy>thtf</cp:lastModifiedBy>
  <cp:lastPrinted>2021-12-08T21:10:46Z</cp:lastPrinted>
  <dcterms:modified xsi:type="dcterms:W3CDTF">2021-12-10T09:41:12Z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