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内蒙古自治区人民政府关于《呼伦贝尔市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国土空间总体规划（2021—2035年）》的批复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呼伦贝尔市人民政府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你市《关于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批准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〈呼伦贝尔市国土空间总体规划（2021—2035年）〉的请示》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（呼政发〔2023〕23号）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收悉。现批复如下：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一、原则同意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《呼伦贝尔市国土空间总体规划（2021—2035年）》（以下简称《规划》）。《规划》是呼伦贝尔市空间发展的指南、可持续发展的空间蓝图，是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各类开发保护建设活动的基本依据，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认真组织实施。《规划》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实施要坚持以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政府各项决策部署，完整、准确、全面贯彻新发展理念，坚持以人民为中心，统筹发展和安全，促进人与自然和谐共生，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工作主线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，着力建设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中蒙俄经济走廊重要节点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城市、自治区东部重要产业基地。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二、筑牢安全发展的空间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基础。到2035年，呼伦贝尔市（指标均含满洲里市）耕地保有量不低于3164.11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万亩，其中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永久基本农田保护面积不低于2320.67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万亩；生态保护红线面积不低于16.57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万平方千米；城镇开发边界扩展倍数控制在基于2020年城镇建设用地规模的1.2897倍以内；用水总量不超过自治区下达指标；基本草原面积不低于8106.00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万亩。明确自然灾害风险重点防控区域，划定洪涝等风险控制线，落实战略性矿产资源、历史文化保护等安全保障空间，全面锚固高质量发展的空间底线。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三、构建支撑新发展格局的国土空间体系。深入实施区域协调发展战略、区域重大战略、主体功能区战略、新型城镇化战略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乡村振兴战略，促进形成主体功能明显、优势互补、高质量发展的国土空间开发保护新格局。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东北全面振兴，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深度融入中蒙俄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经济走廊建设，加快建设以满洲里口岸为节点的我国向北开放东通道，强化与东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北三省的全方位协同，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坚持以生态优先、绿</w:t>
      </w:r>
      <w:r>
        <w:rPr>
          <w:rFonts w:hint="eastAsia" w:ascii="仿宋" w:hAnsi="仿宋" w:eastAsia="仿宋" w:cs="仿宋"/>
          <w:spacing w:val="6"/>
          <w:sz w:val="32"/>
          <w:szCs w:val="32"/>
          <w:shd w:val="clear" w:color="auto" w:fill="FFFFFF"/>
        </w:rPr>
        <w:t>色发展为导向，服务构建新发展格局。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锚定“闯新路、进中游”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目标，对照“七个作模范”要求，为完成好习近平总书记交给内蒙古的五大任务和全方位建设“模范自治区”两件大事做出呼伦贝尔贡献。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系统优化国土空间开发保护格局。发挥区域比较优势，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化主体功能定位，细化主体功能区划分，完善差别化支持政策。发挥农牧资源优势，强化黑土地保护，优化农牧业发展格局，建设大兴安岭岭上精品特色农畜林产业带、岭西草原生态畜牧业区、岭东集约高效农牧业区，严格保护耕地和永久基本农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，保障粮食和重要农畜产品安全供给。筑牢大兴安岭森林生态安全屏障，强化基本草原保护，统筹推进山水林田湖草沙生态综合治理，协同推进“三北”防护林体系建设，实施生态保护修复重大工程，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全面提升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生态系统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服务功能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强化呼伦贝尔中心城区引领带动作用，引导各类开发区功能复合和节约集约用地，完善全域公共服务设施体系，优化产业空间布局，促进城镇空间高质量发展。加快满洲里口岸等边境城镇建设，提升边境地区经济社会发展水平和守边固边能力。优化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牧区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嘎查村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布局，完善城乡生活圈，提升城乡人居环境品质。强化文化遗产与自然遗产整体保护和系统活化利用，健全文化遗产与自然遗产空间保护机制，构建文化资源、自然资源、景观资源整体保护的空间体系，把生态效益更好转化为社会效益、经济效益，建设独具特色的草原旅游名城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五、维护规划严肃性权威性。《规划》是对呼伦贝尔市国土空间作出的全局安排，是市域国土空间保护、开发、利用、修复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的政策和总纲，必须严格执行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shd w:val="clear" w:color="auto" w:fill="FFFFFF"/>
        </w:rPr>
        <w:t>，任何部门和个人不得随意修改、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违规变更。按照定期体检和五年一评估的要求，健全各级各类国土空间规划实施监测评估预警机制，将规划评估结果作为规划实施监督考核的重要依据。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六、做好规划实施保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障。呼伦贝尔市人民政府要加强组织领导，明确责任分工，健全工作机制，完善配套政策措施。做好《规划》印发和公开，强化社会监督。组织完成各级国土空间总体规划、详细规划、相关专项规划编制工作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，加快形成统一的国土空间规划体系，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统筹国土空间开发保护。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建立健全市、旗（市、区）国土空间规划委员会制度，发挥对国土空间规划编制实施管理的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统筹协调作用。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按照“统一底图、统一标准、统一规划、统一平台”的要求，完善国土空间规划“一张图”系统和国土空间基础信息平台，建设国土空间规划实施监测网络，提高空间治理数字化水平。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（此件公开发布）</w:t>
      </w:r>
    </w:p>
    <w:bookmarkEnd w:id="1"/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pacing w:val="-6"/>
          <w:kern w:val="0"/>
          <w:sz w:val="28"/>
          <w:szCs w:val="28"/>
        </w:rPr>
        <w:t>各盟行政公署、市人民政府，自治区各委、办、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</w:rPr>
        <w:t>自治区人大常委会办公厅、政协办公厅，自治区监委，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自治区高级人民法院，检察院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5446DB0"/>
    <w:rsid w:val="1BF4474B"/>
    <w:rsid w:val="1E83199E"/>
    <w:rsid w:val="217D23BA"/>
    <w:rsid w:val="21BB2729"/>
    <w:rsid w:val="27355263"/>
    <w:rsid w:val="27E04077"/>
    <w:rsid w:val="29255FCE"/>
    <w:rsid w:val="36193767"/>
    <w:rsid w:val="39E716B2"/>
    <w:rsid w:val="3E8003A9"/>
    <w:rsid w:val="43CE25A7"/>
    <w:rsid w:val="469C106D"/>
    <w:rsid w:val="4FD33F1F"/>
    <w:rsid w:val="5BF334C7"/>
    <w:rsid w:val="5FC47C57"/>
    <w:rsid w:val="604307FB"/>
    <w:rsid w:val="612A5090"/>
    <w:rsid w:val="664F08A7"/>
    <w:rsid w:val="67C742AE"/>
    <w:rsid w:val="68C13D1E"/>
    <w:rsid w:val="69AA7AA3"/>
    <w:rsid w:val="6ADE316A"/>
    <w:rsid w:val="70131DA1"/>
    <w:rsid w:val="76167F2F"/>
    <w:rsid w:val="76240541"/>
    <w:rsid w:val="777F2975"/>
    <w:rsid w:val="79687B2D"/>
    <w:rsid w:val="79B67981"/>
    <w:rsid w:val="7C7734A3"/>
    <w:rsid w:val="7D1850A2"/>
    <w:rsid w:val="F66D65B0"/>
    <w:rsid w:val="F6AFC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微软雅黑" w:hAnsi="微软雅黑" w:eastAsia="微软雅黑" w:cs="微软雅黑"/>
      <w:sz w:val="28"/>
      <w:szCs w:val="28"/>
      <w:lang w:eastAsia="en-US" w:bidi="en-US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标题 2 Char"/>
    <w:basedOn w:val="9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正文文本 Char"/>
    <w:basedOn w:val="9"/>
    <w:link w:val="3"/>
    <w:qFormat/>
    <w:uiPriority w:val="1"/>
    <w:rPr>
      <w:rFonts w:ascii="微软雅黑" w:hAnsi="微软雅黑" w:eastAsia="微软雅黑" w:cs="微软雅黑"/>
      <w:sz w:val="28"/>
      <w:szCs w:val="28"/>
      <w:lang w:eastAsia="en-US" w:bidi="en-US"/>
    </w:rPr>
  </w:style>
  <w:style w:type="character" w:customStyle="1" w:styleId="13">
    <w:name w:val="页脚 Char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cp:lastPrinted>2024-03-27T15:06:26Z</cp:lastPrinted>
  <dcterms:modified xsi:type="dcterms:W3CDTF">2024-04-03T03:29:23Z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