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sz w:val="32"/>
          <w:szCs w:val="32"/>
        </w:rPr>
      </w:pPr>
      <w:bookmarkStart w:id="0" w:name="缓急"/>
      <w:bookmarkEnd w:id="0"/>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内蒙古自治区人民政府关于</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通辽市科尔沁区</w:t>
      </w:r>
      <w:r>
        <w:rPr>
          <w:rFonts w:hint="eastAsia" w:ascii="方正小标宋_GBK" w:hAnsi="方正小标宋_GBK" w:eastAsia="方正小标宋_GBK" w:cs="方正小标宋_GBK"/>
          <w:sz w:val="44"/>
          <w:szCs w:val="44"/>
          <w:lang w:eastAsia="zh-CN"/>
        </w:rPr>
        <w:t>等</w:t>
      </w:r>
      <w:r>
        <w:rPr>
          <w:rFonts w:hint="eastAsia" w:ascii="方正小标宋_GBK" w:hAnsi="方正小标宋_GBK" w:eastAsia="方正小标宋_GBK" w:cs="方正小标宋_GBK"/>
          <w:sz w:val="44"/>
          <w:szCs w:val="44"/>
          <w:lang w:val="en-US" w:eastAsia="zh-CN"/>
        </w:rPr>
        <w:t>旗县（市、区）</w:t>
      </w:r>
      <w:r>
        <w:rPr>
          <w:rFonts w:hint="eastAsia" w:ascii="方正小标宋_GBK" w:hAnsi="方正小标宋_GBK" w:eastAsia="方正小标宋_GBK" w:cs="方正小标宋_GBK"/>
          <w:sz w:val="44"/>
          <w:szCs w:val="44"/>
        </w:rPr>
        <w:t>国土空间</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总体规划（2021—2035年）的批复</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内政字〔202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82</w:t>
      </w:r>
      <w:r>
        <w:rPr>
          <w:rFonts w:hint="eastAsia" w:ascii="仿宋" w:hAnsi="仿宋" w:eastAsia="仿宋" w:cs="仿宋"/>
          <w:sz w:val="32"/>
          <w:szCs w:val="32"/>
        </w:rPr>
        <w:t>号</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0" w:firstLineChars="0"/>
        <w:jc w:val="both"/>
        <w:textAlignment w:val="auto"/>
        <w:rPr>
          <w:rFonts w:hint="eastAsia" w:ascii="仿宋" w:hAnsi="仿宋" w:eastAsia="仿宋" w:cs="仿宋"/>
          <w:color w:val="000000"/>
          <w:sz w:val="32"/>
          <w:szCs w:val="32"/>
        </w:rPr>
      </w:pPr>
      <w:bookmarkStart w:id="1" w:name="_GoBack"/>
      <w:r>
        <w:rPr>
          <w:rFonts w:hint="eastAsia" w:ascii="仿宋" w:hAnsi="仿宋" w:eastAsia="仿宋" w:cs="仿宋"/>
          <w:color w:val="000000"/>
          <w:sz w:val="32"/>
          <w:szCs w:val="32"/>
          <w:shd w:val="clear" w:color="auto" w:fill="FFFFFF"/>
        </w:rPr>
        <w:t>通辽市人民政府：</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你市《</w:t>
      </w:r>
      <w:r>
        <w:rPr>
          <w:rFonts w:hint="eastAsia" w:ascii="仿宋" w:hAnsi="仿宋" w:eastAsia="仿宋" w:cs="仿宋"/>
          <w:snapToGrid w:val="0"/>
          <w:sz w:val="32"/>
          <w:szCs w:val="32"/>
        </w:rPr>
        <w:t>关于批准实施〈通辽市国土空间总体规划（2021—2035年）〉及科尔沁区等8个旗县市区国土空间总体规划的请示》（通政发〔2023〕62号）</w:t>
      </w:r>
      <w:r>
        <w:rPr>
          <w:rFonts w:hint="eastAsia" w:ascii="仿宋" w:hAnsi="仿宋" w:eastAsia="仿宋" w:cs="仿宋"/>
          <w:color w:val="000000"/>
          <w:sz w:val="32"/>
          <w:szCs w:val="32"/>
          <w:shd w:val="clear" w:color="auto" w:fill="FFFFFF"/>
        </w:rPr>
        <w:t>收悉。现批复如下：</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color w:val="FF0000"/>
          <w:sz w:val="32"/>
          <w:szCs w:val="32"/>
        </w:rPr>
      </w:pPr>
      <w:r>
        <w:rPr>
          <w:rFonts w:hint="eastAsia" w:ascii="仿宋" w:hAnsi="仿宋" w:eastAsia="仿宋" w:cs="仿宋"/>
          <w:color w:val="000000"/>
          <w:sz w:val="32"/>
          <w:szCs w:val="32"/>
          <w:shd w:val="clear" w:color="auto" w:fill="FFFFFF"/>
        </w:rPr>
        <w:t>一、</w:t>
      </w:r>
      <w:r>
        <w:rPr>
          <w:rFonts w:hint="eastAsia" w:ascii="仿宋" w:hAnsi="仿宋" w:eastAsia="仿宋" w:cs="仿宋"/>
          <w:snapToGrid w:val="0"/>
          <w:sz w:val="32"/>
          <w:szCs w:val="32"/>
        </w:rPr>
        <w:t>原则同意自治区有关部门联合审查通过的《通辽市科尔沁区国土空间总体规划（2021—2035年）》、《通辽市霍</w:t>
      </w:r>
      <w:r>
        <w:rPr>
          <w:rFonts w:hint="eastAsia" w:ascii="仿宋" w:hAnsi="仿宋" w:eastAsia="仿宋" w:cs="仿宋"/>
          <w:color w:val="000000"/>
          <w:sz w:val="32"/>
          <w:szCs w:val="32"/>
          <w:shd w:val="clear" w:color="auto" w:fill="FFFFFF"/>
        </w:rPr>
        <w:t>林郭勒市国土空间总体规划</w:t>
      </w:r>
      <w:r>
        <w:rPr>
          <w:rFonts w:hint="eastAsia" w:ascii="仿宋" w:hAnsi="仿宋" w:eastAsia="仿宋" w:cs="仿宋"/>
          <w:snapToGrid w:val="0"/>
          <w:sz w:val="32"/>
          <w:szCs w:val="32"/>
        </w:rPr>
        <w:t>（2021—2035年）</w:t>
      </w:r>
      <w:r>
        <w:rPr>
          <w:rFonts w:hint="eastAsia" w:ascii="仿宋" w:hAnsi="仿宋" w:eastAsia="仿宋" w:cs="仿宋"/>
          <w:color w:val="000000"/>
          <w:sz w:val="32"/>
          <w:szCs w:val="32"/>
          <w:shd w:val="clear" w:color="auto" w:fill="FFFFFF"/>
        </w:rPr>
        <w:t>》、《通辽市开鲁县国土空间总体规划</w:t>
      </w:r>
      <w:r>
        <w:rPr>
          <w:rFonts w:hint="eastAsia" w:ascii="仿宋" w:hAnsi="仿宋" w:eastAsia="仿宋" w:cs="仿宋"/>
          <w:snapToGrid w:val="0"/>
          <w:sz w:val="32"/>
          <w:szCs w:val="32"/>
        </w:rPr>
        <w:t>（2021—2035年）</w:t>
      </w:r>
      <w:r>
        <w:rPr>
          <w:rFonts w:hint="eastAsia" w:ascii="仿宋" w:hAnsi="仿宋" w:eastAsia="仿宋" w:cs="仿宋"/>
          <w:color w:val="000000"/>
          <w:sz w:val="32"/>
          <w:szCs w:val="32"/>
          <w:shd w:val="clear" w:color="auto" w:fill="FFFFFF"/>
        </w:rPr>
        <w:t>》、《通辽市科尔沁左翼中旗国土空间总体规划</w:t>
      </w:r>
      <w:r>
        <w:rPr>
          <w:rFonts w:hint="eastAsia" w:ascii="仿宋" w:hAnsi="仿宋" w:eastAsia="仿宋" w:cs="仿宋"/>
          <w:snapToGrid w:val="0"/>
          <w:sz w:val="32"/>
          <w:szCs w:val="32"/>
        </w:rPr>
        <w:t>（2021—2035年）</w:t>
      </w:r>
      <w:r>
        <w:rPr>
          <w:rFonts w:hint="eastAsia" w:ascii="仿宋" w:hAnsi="仿宋" w:eastAsia="仿宋" w:cs="仿宋"/>
          <w:color w:val="000000"/>
          <w:sz w:val="32"/>
          <w:szCs w:val="32"/>
          <w:shd w:val="clear" w:color="auto" w:fill="FFFFFF"/>
        </w:rPr>
        <w:t>》、《通辽市科尔沁左翼后旗国土空间总体规划</w:t>
      </w:r>
      <w:r>
        <w:rPr>
          <w:rFonts w:hint="eastAsia" w:ascii="仿宋" w:hAnsi="仿宋" w:eastAsia="仿宋" w:cs="仿宋"/>
          <w:snapToGrid w:val="0"/>
          <w:sz w:val="32"/>
          <w:szCs w:val="32"/>
        </w:rPr>
        <w:t>（2021—2035年）</w:t>
      </w:r>
      <w:r>
        <w:rPr>
          <w:rFonts w:hint="eastAsia" w:ascii="仿宋" w:hAnsi="仿宋" w:eastAsia="仿宋" w:cs="仿宋"/>
          <w:color w:val="000000"/>
          <w:sz w:val="32"/>
          <w:szCs w:val="32"/>
          <w:shd w:val="clear" w:color="auto" w:fill="FFFFFF"/>
        </w:rPr>
        <w:t>》、《通辽市库伦旗国土空间总体规划</w:t>
      </w:r>
      <w:r>
        <w:rPr>
          <w:rFonts w:hint="eastAsia" w:ascii="仿宋" w:hAnsi="仿宋" w:eastAsia="仿宋" w:cs="仿宋"/>
          <w:snapToGrid w:val="0"/>
          <w:sz w:val="32"/>
          <w:szCs w:val="32"/>
        </w:rPr>
        <w:t>（2021—2035年）</w:t>
      </w:r>
      <w:r>
        <w:rPr>
          <w:rFonts w:hint="eastAsia" w:ascii="仿宋" w:hAnsi="仿宋" w:eastAsia="仿宋" w:cs="仿宋"/>
          <w:color w:val="000000"/>
          <w:sz w:val="32"/>
          <w:szCs w:val="32"/>
          <w:shd w:val="clear" w:color="auto" w:fill="FFFFFF"/>
        </w:rPr>
        <w:t>》、《通辽市奈曼旗国土空间总体规划</w:t>
      </w:r>
      <w:r>
        <w:rPr>
          <w:rFonts w:hint="eastAsia" w:ascii="仿宋" w:hAnsi="仿宋" w:eastAsia="仿宋" w:cs="仿宋"/>
          <w:snapToGrid w:val="0"/>
          <w:sz w:val="32"/>
          <w:szCs w:val="32"/>
        </w:rPr>
        <w:t>（2021—2035年）</w:t>
      </w:r>
      <w:r>
        <w:rPr>
          <w:rFonts w:hint="eastAsia" w:ascii="仿宋" w:hAnsi="仿宋" w:eastAsia="仿宋" w:cs="仿宋"/>
          <w:color w:val="000000"/>
          <w:sz w:val="32"/>
          <w:szCs w:val="32"/>
          <w:shd w:val="clear" w:color="auto" w:fill="FFFFFF"/>
        </w:rPr>
        <w:t>》、《通辽市扎鲁特旗国土空间总体规划</w:t>
      </w:r>
      <w:r>
        <w:rPr>
          <w:rFonts w:hint="eastAsia" w:ascii="仿宋" w:hAnsi="仿宋" w:eastAsia="仿宋" w:cs="仿宋"/>
          <w:snapToGrid w:val="0"/>
          <w:sz w:val="32"/>
          <w:szCs w:val="32"/>
        </w:rPr>
        <w:t>（2021—2035年）</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（以下统称《规划》）</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shd w:val="clear" w:color="auto" w:fill="FFFFFF"/>
        </w:rPr>
        <w:t>你市要指导各</w:t>
      </w:r>
      <w:r>
        <w:rPr>
          <w:rFonts w:hint="eastAsia" w:ascii="仿宋" w:hAnsi="仿宋" w:eastAsia="仿宋" w:cs="仿宋"/>
          <w:sz w:val="32"/>
          <w:szCs w:val="32"/>
          <w:shd w:val="clear" w:color="auto" w:fill="FFFFFF"/>
          <w:lang w:eastAsia="zh-CN"/>
        </w:rPr>
        <w:t>旗县（市、区）</w:t>
      </w:r>
      <w:r>
        <w:rPr>
          <w:rFonts w:hint="eastAsia" w:ascii="仿宋" w:hAnsi="仿宋" w:eastAsia="仿宋" w:cs="仿宋"/>
          <w:sz w:val="32"/>
          <w:szCs w:val="32"/>
          <w:shd w:val="clear" w:color="auto" w:fill="FFFFFF"/>
        </w:rPr>
        <w:t>认真组织实施，坚持以习近平新时代中国特色社会主义思想为指导，全面贯彻落实党的二十大精神，深入贯彻习近平总书记对内蒙古的重要指示精神，认真落实自治区党委和政府各项决策部署，完整、准确、全面贯彻新发展理念，坚持以人民为中心，统筹发展和安全，促进人与自</w:t>
      </w:r>
      <w:r>
        <w:rPr>
          <w:rFonts w:hint="eastAsia" w:ascii="仿宋" w:hAnsi="仿宋" w:eastAsia="仿宋" w:cs="仿宋"/>
          <w:color w:val="000000"/>
          <w:sz w:val="32"/>
          <w:szCs w:val="32"/>
          <w:shd w:val="clear" w:color="auto" w:fill="FFFFFF"/>
        </w:rPr>
        <w:t>然和谐</w:t>
      </w:r>
      <w:r>
        <w:rPr>
          <w:rFonts w:hint="eastAsia" w:ascii="仿宋" w:hAnsi="仿宋" w:eastAsia="仿宋" w:cs="仿宋"/>
          <w:sz w:val="32"/>
          <w:szCs w:val="32"/>
          <w:shd w:val="clear" w:color="auto" w:fill="FFFFFF"/>
        </w:rPr>
        <w:t>共生，</w:t>
      </w:r>
      <w:r>
        <w:rPr>
          <w:rFonts w:hint="eastAsia" w:ascii="仿宋" w:hAnsi="仿宋" w:eastAsia="仿宋" w:cs="仿宋"/>
          <w:sz w:val="32"/>
          <w:szCs w:val="32"/>
          <w:shd w:val="clear" w:color="auto" w:fill="FFFFFF"/>
          <w:lang w:eastAsia="zh-CN"/>
        </w:rPr>
        <w:t>牢牢把握</w:t>
      </w:r>
      <w:r>
        <w:rPr>
          <w:rFonts w:hint="eastAsia" w:ascii="仿宋" w:hAnsi="仿宋" w:eastAsia="仿宋" w:cs="仿宋"/>
          <w:sz w:val="32"/>
          <w:szCs w:val="32"/>
          <w:shd w:val="clear" w:color="auto" w:fill="FFFFFF"/>
        </w:rPr>
        <w:t>铸牢中华民族共同体意识</w:t>
      </w:r>
      <w:r>
        <w:rPr>
          <w:rFonts w:hint="eastAsia" w:ascii="仿宋" w:hAnsi="仿宋" w:eastAsia="仿宋" w:cs="仿宋"/>
          <w:sz w:val="32"/>
          <w:szCs w:val="32"/>
          <w:shd w:val="clear" w:color="auto" w:fill="FFFFFF"/>
          <w:lang w:eastAsia="zh-CN"/>
        </w:rPr>
        <w:t>工作主线</w:t>
      </w:r>
      <w:r>
        <w:rPr>
          <w:rFonts w:hint="eastAsia" w:ascii="仿宋" w:hAnsi="仿宋" w:eastAsia="仿宋" w:cs="仿宋"/>
          <w:sz w:val="32"/>
          <w:szCs w:val="32"/>
          <w:shd w:val="clear" w:color="auto" w:fill="FFFFFF"/>
        </w:rPr>
        <w:t>，深化实施国家和自治区重大发展战略，着力将科尔沁区建成蒙东新型工业化基地和通辽市重要的绿色农畜产品生产基地，霍林郭勒市建成通辽市副中心城市和东北地区重要能源产业基地，开鲁县建成通辽市农产品精深加工和生物医药化工产业基地，科尔沁左翼中旗建成通辽市绿色农畜产品加工、新型化工基地及特色旅游目的地，科尔沁左翼后旗建成科尔沁草原特色旅游目的地和通辽市中（蒙）医药传承创新示范区，库伦旗建成通辽市绿色农畜产品生产基地和特色旅游目的地，奈曼旗建成通辽市副中心城市和沙漠旅游目的地，扎鲁特旗建成蒙东地区绿色农畜产品生产加工输出基地和通辽市新材料新型化工产业基地。</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color w:val="FF0000"/>
          <w:sz w:val="32"/>
          <w:szCs w:val="32"/>
        </w:rPr>
      </w:pPr>
      <w:r>
        <w:rPr>
          <w:rFonts w:hint="eastAsia" w:ascii="仿宋" w:hAnsi="仿宋" w:eastAsia="仿宋" w:cs="仿宋"/>
          <w:sz w:val="32"/>
          <w:szCs w:val="32"/>
          <w:shd w:val="clear" w:color="auto" w:fill="FFFFFF"/>
        </w:rPr>
        <w:t>二、筑牢安全发展的空间基础。到2035年，科尔沁区耕地保有量不低于349.8929万亩，其中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永久基本农田保护面积不低于297.1297万亩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生态保护红线面积不低于149.3811平方千米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城镇开发边界扩展倍数控制在基于2020年城镇建设用地规模的1.4092倍以内</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霍林郭勒市耕地保有量不低于4.0464万亩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生态保护红线面积不低于8.7709平方千米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城镇开发边界扩展倍数控制在基于2020年城镇建设用地规模的1.4558倍以内</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开鲁县耕地保有量不低于395.9862万亩，其中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永久基本农田保护面积不低于334.9002万亩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生态保护红线面积不低于437.7470平方千米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城镇开发边界扩展倍数控制在基于2020年城镇建设用地规模的1.2895倍以内</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科尔沁左翼中旗耕地保有量不低于654.1331万亩，其中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永久基本农田保护面积不低于549.5111万亩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生态保护红线面积不低于1612.7694平方千米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城镇开发边界扩展倍数控制在基于2020年城镇建设用地规模的1.1587倍以内</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科尔沁左翼后旗耕地保有量不低于655.6216万亩，其中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永久基本农田保护面积不低于510.9747万亩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生态保护红线面积不低于3414.9455平方千米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城镇开发边界扩展倍数控制在基于2020年城镇建设用地规模的1.1996倍以内</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库伦旗耕地保有量不低于262.6540万亩，其中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永久基本农田保护面积不低于202.5185万亩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生态保护红线面积不低于1588.1066平方千米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城镇开发边界扩展倍数控制在基于2020年城镇建设用地规模的1.2499倍以内</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奈曼旗耕地保有量不低于454.6015万亩，其中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永久基本农田保护面积不低于364.1219万亩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生态保护红线面积不低于1849.8875平方千米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城镇开发边界扩展倍数控制在基于2020年城镇建设用地规模的1.2900倍以内</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扎鲁特旗耕地保有量不低于402.7234万亩，其中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永久基本农田保护面积不低于337.9878万亩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生态保护红线面积不低于6629.0744平方千米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城镇开发边界扩展倍数控制在基于2020年城镇建设用地规模的1.1918倍以内。以上旗县（市、区）用水总量不超过通辽市下达指标，基本草原面积不低于本地区划定面积。</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三、</w:t>
      </w:r>
      <w:r>
        <w:rPr>
          <w:rFonts w:hint="eastAsia" w:ascii="仿宋" w:hAnsi="仿宋" w:eastAsia="仿宋" w:cs="仿宋"/>
          <w:color w:val="000000"/>
          <w:spacing w:val="6"/>
          <w:sz w:val="32"/>
          <w:szCs w:val="32"/>
          <w:shd w:val="clear" w:color="auto" w:fill="FFFFFF"/>
        </w:rPr>
        <w:t>优化国土空间开发保护格局。促进农牧空间结构优化，</w:t>
      </w:r>
      <w:r>
        <w:rPr>
          <w:rFonts w:hint="eastAsia" w:ascii="仿宋" w:hAnsi="仿宋" w:eastAsia="仿宋" w:cs="仿宋"/>
          <w:color w:val="000000"/>
          <w:sz w:val="32"/>
          <w:szCs w:val="32"/>
          <w:shd w:val="clear" w:color="auto" w:fill="FFFFFF"/>
        </w:rPr>
        <w:t>推动农牧业安全、绿色、高效发展，严格保护耕地和永久基本农田，保障粮食和重要农畜产品安全供给。加强生态空间的保护和管控，开展生态修复，持续推进生态文明建设。加强城乡融合发展，优化镇村布局，推进宜居宜业和美乡村建设。严守城镇开发边界，严控新增城镇建设用地，做好分阶段时序管控。加大城乡存量用地挖潜力度，引导土地复合利用，提高土地节约集约利用水平，促进城镇内涵式集约发展。</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四、提升城乡空间品质。优化中心城区空间结构和用地布局，统筹安排教育、文化、体育、医疗、养老等公共服务设施，合理</w:t>
      </w:r>
      <w:r>
        <w:rPr>
          <w:rFonts w:hint="eastAsia" w:ascii="仿宋" w:hAnsi="仿宋" w:eastAsia="仿宋" w:cs="仿宋"/>
          <w:color w:val="000000"/>
          <w:spacing w:val="6"/>
          <w:sz w:val="32"/>
          <w:szCs w:val="32"/>
          <w:shd w:val="clear" w:color="auto" w:fill="FFFFFF"/>
        </w:rPr>
        <w:t>安排居住用地，推进社区生活圈建设，提升城乡人居环境品质。</w:t>
      </w:r>
      <w:r>
        <w:rPr>
          <w:rFonts w:hint="eastAsia" w:ascii="仿宋" w:hAnsi="仿宋" w:eastAsia="仿宋" w:cs="仿宋"/>
          <w:color w:val="000000"/>
          <w:sz w:val="32"/>
          <w:szCs w:val="32"/>
          <w:shd w:val="clear" w:color="auto" w:fill="FFFFFF"/>
        </w:rPr>
        <w:t>严格城市“四线”管控，系统建设公共开敞空间，稳步推进城市更新。落实历史文化保护线管理要求，保护好各级文物保护单位及周围环境，保护和传承非物质文化遗产。强化城市设计、村庄设计，优化城乡空间形态，彰显富有地域特色的城乡风貌。</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构建现代化基础设施体系。完善城乡各类基础设施建设，提升基础设施保障能力和服务水平。强化与区域重要城市的交通联系，构建各种交通方式相协调的综合交通体系。健全公共安全和综合防灾体系，保障城市生命线稳定运行，提高城市安全韧性。</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六、维护规划严肃性权威性。坚决贯彻党中央、国务院关于“多规合一”改革的决策部署，不在国土空间规划体系之外另设其他空间规划。严格执行</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，任何部门和个人不得随意修改、违规变更。坚持一张蓝图干到底，切实提高规划、建设、治理水平。在符合“三区三线”管控要求的前提下，严格管理</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重点项目。科学编制详细规划、相关专项规划，强化对专项规划的指导约束。建立健全国土空间规划动态监测评估预警和实施监管机制。做好</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印发和公开，强化社会监督。</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实施中的重大事项要及时请示报告。</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tabs>
          <w:tab w:val="left" w:pos="7560"/>
        </w:tabs>
        <w:kinsoku/>
        <w:wordWrap/>
        <w:overflowPunct/>
        <w:topLinePunct/>
        <w:autoSpaceDE/>
        <w:autoSpaceDN/>
        <w:bidi w:val="0"/>
        <w:adjustRightInd/>
        <w:snapToGrid/>
        <w:spacing w:before="0" w:beforeAutospacing="0" w:after="0" w:afterAutospacing="0" w:line="580" w:lineRule="exact"/>
        <w:ind w:firstLine="5120" w:firstLineChars="16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2024年</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shd w:val="clear" w:color="auto" w:fill="FFFFFF"/>
          <w:lang w:val="en-US" w:eastAsia="zh-CN"/>
        </w:rPr>
        <w:t>18</w:t>
      </w:r>
      <w:r>
        <w:rPr>
          <w:rFonts w:hint="eastAsia" w:ascii="仿宋" w:hAnsi="仿宋" w:eastAsia="仿宋" w:cs="仿宋"/>
          <w:color w:val="000000"/>
          <w:sz w:val="32"/>
          <w:szCs w:val="32"/>
          <w:shd w:val="clear" w:color="auto" w:fill="FFFFFF"/>
        </w:rPr>
        <w:t>日</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（此件公开发布）</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0"/>
        <w:jc w:val="both"/>
        <w:textAlignment w:val="auto"/>
        <w:rPr>
          <w:rFonts w:hint="eastAsia" w:hAnsi="仿宋_GB2312"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0"/>
        <w:jc w:val="both"/>
        <w:textAlignment w:val="auto"/>
        <w:rPr>
          <w:rFonts w:hint="eastAsia" w:hAnsi="仿宋_GB2312"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0"/>
        <w:jc w:val="both"/>
        <w:textAlignment w:val="auto"/>
        <w:rPr>
          <w:rFonts w:hint="eastAsia" w:hAnsi="仿宋_GB2312" w:eastAsia="仿宋_GB2312"/>
          <w:color w:val="000000"/>
          <w:sz w:val="32"/>
          <w:szCs w:val="32"/>
          <w:shd w:val="clear" w:color="auto" w:fill="FFFFFF"/>
        </w:rPr>
      </w:pPr>
    </w:p>
    <w:bookmarkEnd w:id="1"/>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0"/>
        <w:jc w:val="both"/>
        <w:textAlignment w:val="auto"/>
        <w:rPr>
          <w:rFonts w:hint="eastAsia" w:hAnsi="仿宋_GB2312" w:eastAsia="仿宋_GB2312"/>
          <w:color w:val="000000"/>
          <w:sz w:val="32"/>
          <w:szCs w:val="32"/>
          <w:shd w:val="clear" w:color="auto" w:fill="FFFFFF"/>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hAnsi="仿宋_GB2312"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hAnsi="仿宋_GB2312" w:eastAsia="仿宋_GB2312"/>
          <w:color w:val="000000"/>
          <w:sz w:val="32"/>
          <w:szCs w:val="32"/>
          <w:shd w:val="clear" w:color="auto" w:fill="FFFFFF"/>
        </w:rPr>
      </w:pPr>
    </w:p>
    <w:p>
      <w:pPr>
        <w:keepNext w:val="0"/>
        <w:keepLines w:val="0"/>
        <w:pageBreakBefore w:val="0"/>
        <w:widowControl w:val="0"/>
        <w:kinsoku/>
        <w:wordWrap/>
        <w:overflowPunct/>
        <w:topLinePunct/>
        <w:autoSpaceDE/>
        <w:autoSpaceDN/>
        <w:bidi w:val="0"/>
        <w:adjustRightInd/>
        <w:snapToGrid/>
        <w:spacing w:line="400" w:lineRule="exact"/>
        <w:ind w:left="1155" w:leftChars="150" w:right="315" w:rightChars="150" w:hanging="840" w:hangingChars="300"/>
        <w:jc w:val="left"/>
        <w:textAlignment w:val="auto"/>
        <w:rPr>
          <w:rFonts w:hint="eastAsia" w:ascii="仿宋" w:hAnsi="仿宋" w:eastAsia="仿宋" w:cs="仿宋"/>
          <w:kern w:val="0"/>
          <w:sz w:val="28"/>
          <w:szCs w:val="28"/>
        </w:rPr>
      </w:pPr>
      <w:r>
        <w:rPr>
          <w:rFonts w:hint="eastAsia" w:ascii="仿宋" w:hAnsi="仿宋" w:eastAsia="仿宋" w:cs="仿宋"/>
          <w:sz w:val="28"/>
          <w:szCs w:val="28"/>
        </w:rPr>
        <w:t>抄送：</w:t>
      </w:r>
      <w:r>
        <w:rPr>
          <w:rFonts w:hint="eastAsia" w:ascii="仿宋" w:hAnsi="仿宋" w:eastAsia="仿宋" w:cs="仿宋"/>
          <w:spacing w:val="-6"/>
          <w:kern w:val="0"/>
          <w:sz w:val="28"/>
          <w:szCs w:val="28"/>
        </w:rPr>
        <w:t>各盟行政公署、市人民政府，自治区各委、办、</w:t>
      </w:r>
      <w:r>
        <w:rPr>
          <w:rFonts w:hint="eastAsia" w:ascii="仿宋" w:hAnsi="仿宋" w:eastAsia="仿宋" w:cs="仿宋"/>
          <w:kern w:val="0"/>
          <w:sz w:val="28"/>
          <w:szCs w:val="28"/>
        </w:rPr>
        <w:t>厅、局，各大企业、事业单位。</w:t>
      </w:r>
    </w:p>
    <w:p>
      <w:pPr>
        <w:keepNext w:val="0"/>
        <w:keepLines w:val="0"/>
        <w:pageBreakBefore w:val="0"/>
        <w:widowControl w:val="0"/>
        <w:kinsoku/>
        <w:wordWrap/>
        <w:overflowPunct/>
        <w:topLinePunct/>
        <w:autoSpaceDE/>
        <w:autoSpaceDN/>
        <w:bidi w:val="0"/>
        <w:adjustRightInd/>
        <w:snapToGrid/>
        <w:spacing w:line="400" w:lineRule="exact"/>
        <w:ind w:left="315" w:leftChars="150" w:right="315" w:rightChars="150" w:firstLine="840" w:firstLineChars="3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00" w:lineRule="exact"/>
        <w:ind w:left="1153" w:leftChars="549" w:right="315" w:rightChars="150" w:firstLine="0" w:firstLineChars="0"/>
        <w:textAlignment w:val="auto"/>
        <w:rPr>
          <w:rFonts w:hint="eastAsia"/>
          <w:sz w:val="28"/>
          <w:szCs w:val="28"/>
        </w:rPr>
      </w:pPr>
      <w:r>
        <w:rPr>
          <w:rFonts w:hint="eastAsia" w:hAnsi="仿宋_GB2312" w:eastAsia="仿宋_GB2312"/>
          <w:color w:val="000000"/>
          <w:sz w:val="32"/>
          <w:szCs w:val="32"/>
          <w:shd w:val="clear" w:color="auto" w:fill="FFFFFF"/>
          <w:lang w:eastAsia="zh-CN"/>
        </w:rPr>
        <w:drawing>
          <wp:anchor distT="0" distB="0" distL="114300" distR="114300" simplePos="0" relativeHeight="251659264" behindDoc="0" locked="0" layoutInCell="1" allowOverlap="1">
            <wp:simplePos x="0" y="0"/>
            <wp:positionH relativeFrom="column">
              <wp:posOffset>4000500</wp:posOffset>
            </wp:positionH>
            <wp:positionV relativeFrom="paragraph">
              <wp:posOffset>661035</wp:posOffset>
            </wp:positionV>
            <wp:extent cx="1493520" cy="452755"/>
            <wp:effectExtent l="0" t="0" r="11430" b="4445"/>
            <wp:wrapSquare wrapText="bothSides"/>
            <wp:docPr id="1" name="图片 4" descr="NZZ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NZZ82"/>
                    <pic:cNvPicPr>
                      <a:picLocks noChangeAspect="1"/>
                    </pic:cNvPicPr>
                  </pic:nvPicPr>
                  <pic:blipFill>
                    <a:blip r:embed="rId6"/>
                    <a:stretch>
                      <a:fillRect/>
                    </a:stretch>
                  </pic:blipFill>
                  <pic:spPr>
                    <a:xfrm>
                      <a:off x="0" y="0"/>
                      <a:ext cx="1493520" cy="452755"/>
                    </a:xfrm>
                    <a:prstGeom prst="rect">
                      <a:avLst/>
                    </a:prstGeom>
                    <a:noFill/>
                    <a:ln>
                      <a:noFill/>
                    </a:ln>
                  </pic:spPr>
                </pic:pic>
              </a:graphicData>
            </a:graphic>
          </wp:anchor>
        </w:drawing>
      </w:r>
      <w:r>
        <w:rPr>
          <w:rFonts w:hint="eastAsia" w:ascii="仿宋" w:hAnsi="仿宋" w:eastAsia="仿宋" w:cs="仿宋"/>
          <w:spacing w:val="6"/>
          <w:kern w:val="0"/>
          <w:sz w:val="28"/>
          <w:szCs w:val="28"/>
        </w:rPr>
        <w:t>自治区人大常委会办公厅、政协办公厅，自治区监委，</w:t>
      </w:r>
      <w:r>
        <w:rPr>
          <w:rFonts w:hint="eastAsia" w:ascii="仿宋" w:hAnsi="仿宋" w:eastAsia="仿宋" w:cs="仿宋"/>
          <w:kern w:val="0"/>
          <w:sz w:val="28"/>
          <w:szCs w:val="28"/>
        </w:rPr>
        <w:t>自治区高级人民法院，检察院。</w:t>
      </w:r>
    </w:p>
    <w:sectPr>
      <w:footerReference r:id="rId3" w:type="default"/>
      <w:footerReference r:id="rId4" w:type="even"/>
      <w:pgSz w:w="11906" w:h="16838"/>
      <w:pgMar w:top="2098" w:right="1474" w:bottom="1701" w:left="1474" w:header="851" w:footer="1304"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CD"/>
    <w:rsid w:val="00057363"/>
    <w:rsid w:val="001B7709"/>
    <w:rsid w:val="00302982"/>
    <w:rsid w:val="00323128"/>
    <w:rsid w:val="00337358"/>
    <w:rsid w:val="00351DB4"/>
    <w:rsid w:val="00444154"/>
    <w:rsid w:val="00483E09"/>
    <w:rsid w:val="004B2561"/>
    <w:rsid w:val="006048D6"/>
    <w:rsid w:val="006114C2"/>
    <w:rsid w:val="00755D27"/>
    <w:rsid w:val="00825CE1"/>
    <w:rsid w:val="008408A0"/>
    <w:rsid w:val="00861E84"/>
    <w:rsid w:val="008E482C"/>
    <w:rsid w:val="00AC3BB4"/>
    <w:rsid w:val="00B32830"/>
    <w:rsid w:val="00B33ED2"/>
    <w:rsid w:val="00B52F22"/>
    <w:rsid w:val="00B558E6"/>
    <w:rsid w:val="00B8542C"/>
    <w:rsid w:val="00C809B3"/>
    <w:rsid w:val="00CB0B2B"/>
    <w:rsid w:val="00CC1415"/>
    <w:rsid w:val="00D3579F"/>
    <w:rsid w:val="00DD4FCD"/>
    <w:rsid w:val="00DD700A"/>
    <w:rsid w:val="00DF62D9"/>
    <w:rsid w:val="00E751C2"/>
    <w:rsid w:val="00F71128"/>
    <w:rsid w:val="00F94438"/>
    <w:rsid w:val="1BF4474B"/>
    <w:rsid w:val="1DF5FD86"/>
    <w:rsid w:val="217D23BA"/>
    <w:rsid w:val="26124956"/>
    <w:rsid w:val="27355263"/>
    <w:rsid w:val="27E04077"/>
    <w:rsid w:val="29255FCE"/>
    <w:rsid w:val="36193767"/>
    <w:rsid w:val="369226B3"/>
    <w:rsid w:val="3E8003A9"/>
    <w:rsid w:val="43CE25A7"/>
    <w:rsid w:val="4803536E"/>
    <w:rsid w:val="485F2A31"/>
    <w:rsid w:val="4FD33F1F"/>
    <w:rsid w:val="5B6E2169"/>
    <w:rsid w:val="5FC47C57"/>
    <w:rsid w:val="604307FB"/>
    <w:rsid w:val="612A5090"/>
    <w:rsid w:val="67C742AE"/>
    <w:rsid w:val="68C13D1E"/>
    <w:rsid w:val="69AA7AA3"/>
    <w:rsid w:val="6A9B5752"/>
    <w:rsid w:val="6ADE316A"/>
    <w:rsid w:val="6E005200"/>
    <w:rsid w:val="6EFB66BB"/>
    <w:rsid w:val="76167F2F"/>
    <w:rsid w:val="76240541"/>
    <w:rsid w:val="7C7734A3"/>
    <w:rsid w:val="7D1850A2"/>
    <w:rsid w:val="7FFF7FE9"/>
    <w:rsid w:val="CEFC0D14"/>
    <w:rsid w:val="E5C83725"/>
    <w:rsid w:val="EFEFCC4F"/>
    <w:rsid w:val="F23F75F8"/>
    <w:rsid w:val="FBAF9C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rPr>
      <w:rFonts w:ascii="仿宋_GB2312" w:hAnsi="Times New Roman" w:eastAsia="仿宋_GB2312" w:cs="Times New Roman"/>
      <w:sz w:val="32"/>
      <w:szCs w:val="24"/>
    </w:rPr>
  </w:style>
  <w:style w:type="paragraph" w:styleId="3">
    <w:name w:val="Balloon Text"/>
    <w:basedOn w:val="1"/>
    <w:link w:val="12"/>
    <w:unhideWhenUsed/>
    <w:qFormat/>
    <w:uiPriority w:val="99"/>
    <w:rPr>
      <w:rFonts w:ascii="Times New Roman" w:hAnsi="Times New Roman" w:eastAsia="宋体" w:cs="Times New Roman"/>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日期 Char"/>
    <w:basedOn w:val="9"/>
    <w:link w:val="2"/>
    <w:qFormat/>
    <w:uiPriority w:val="0"/>
    <w:rPr>
      <w:rFonts w:ascii="仿宋_GB2312" w:hAnsi="Calibri" w:eastAsia="仿宋_GB2312" w:cs="Times New Roman"/>
      <w:kern w:val="2"/>
      <w:sz w:val="32"/>
      <w:szCs w:val="22"/>
      <w:lang w:val="en-US" w:eastAsia="zh-CN" w:bidi="ar-SA"/>
    </w:rPr>
  </w:style>
  <w:style w:type="character" w:customStyle="1" w:styleId="12">
    <w:name w:val="批注框文本 Char"/>
    <w:basedOn w:val="9"/>
    <w:link w:val="3"/>
    <w:semiHidden/>
    <w:qFormat/>
    <w:uiPriority w:val="99"/>
    <w:rPr>
      <w:rFonts w:ascii="Calibri" w:hAnsi="Calibri" w:eastAsia="宋体" w:cs="Times New Roman"/>
      <w:kern w:val="2"/>
      <w:sz w:val="18"/>
      <w:szCs w:val="18"/>
      <w:lang w:val="en-US" w:eastAsia="zh-CN" w:bidi="ar-SA"/>
    </w:rPr>
  </w:style>
  <w:style w:type="character" w:customStyle="1" w:styleId="13">
    <w:name w:val="页脚 Char"/>
    <w:basedOn w:val="9"/>
    <w:link w:val="4"/>
    <w:uiPriority w:val="99"/>
    <w:rPr>
      <w:rFonts w:ascii="Calibri" w:hAnsi="Calibri" w:eastAsia="宋体" w:cs="Times New Roman"/>
      <w:kern w:val="2"/>
      <w:sz w:val="18"/>
      <w:szCs w:val="18"/>
    </w:rPr>
  </w:style>
  <w:style w:type="character" w:customStyle="1" w:styleId="14">
    <w:name w:val="页眉 Char"/>
    <w:basedOn w:val="9"/>
    <w:link w:val="5"/>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6</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哈斯高娃</cp:lastModifiedBy>
  <cp:lastPrinted>2024-04-22T09:56:17Z</cp:lastPrinted>
  <dcterms:modified xsi:type="dcterms:W3CDTF">2024-04-30T03:02:56Z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