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eastAsia"/>
          <w:sz w:val="44"/>
        </w:rPr>
      </w:pPr>
    </w:p>
    <w:p>
      <w:pPr>
        <w:keepNext w:val="0"/>
        <w:keepLines w:val="0"/>
        <w:pageBreakBefore w:val="0"/>
        <w:widowControl w:val="0"/>
        <w:kinsoku/>
        <w:wordWrap/>
        <w:overflowPunct/>
        <w:topLinePunct w:val="0"/>
        <w:autoSpaceDE/>
        <w:autoSpaceDN/>
        <w:bidi w:val="0"/>
        <w:spacing w:beforeAutospacing="0" w:line="500" w:lineRule="exact"/>
        <w:ind w:left="0"/>
        <w:jc w:val="center"/>
        <w:textAlignment w:val="auto"/>
        <w:rPr>
          <w:rFonts w:hint="eastAsia" w:ascii="方正小标宋简体" w:eastAsia="方正小标宋简体"/>
          <w:sz w:val="44"/>
          <w:szCs w:val="44"/>
          <w:lang w:eastAsia="zh-CN"/>
        </w:rPr>
      </w:pPr>
      <w:bookmarkStart w:id="0" w:name="缓急"/>
      <w:bookmarkEnd w:id="0"/>
      <w:bookmarkStart w:id="1" w:name="文号"/>
      <w:bookmarkEnd w:id="1"/>
      <w:bookmarkStart w:id="2" w:name="标题"/>
      <w:bookmarkEnd w:id="2"/>
      <w:r>
        <w:rPr>
          <w:rFonts w:hint="eastAsia" w:ascii="方正小标宋简体" w:eastAsia="方正小标宋简体"/>
          <w:sz w:val="44"/>
          <w:szCs w:val="44"/>
          <w:lang w:eastAsia="zh-CN"/>
        </w:rPr>
        <w:t>内蒙古自治区人民政府办公厅关于印发</w:t>
      </w:r>
    </w:p>
    <w:p>
      <w:pPr>
        <w:keepNext w:val="0"/>
        <w:keepLines w:val="0"/>
        <w:pageBreakBefore w:val="0"/>
        <w:widowControl w:val="0"/>
        <w:kinsoku/>
        <w:wordWrap/>
        <w:overflowPunct/>
        <w:topLinePunct w:val="0"/>
        <w:autoSpaceDE/>
        <w:autoSpaceDN/>
        <w:bidi w:val="0"/>
        <w:spacing w:beforeAutospacing="0" w:line="500" w:lineRule="exact"/>
        <w:ind w:left="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自治区“十四五”民政事业发展规划的通知</w:t>
      </w:r>
    </w:p>
    <w:p>
      <w:pPr>
        <w:pStyle w:val="2"/>
        <w:jc w:val="center"/>
        <w:rPr>
          <w:rFonts w:hint="eastAsia"/>
          <w:lang w:eastAsia="zh-CN"/>
        </w:rPr>
      </w:pPr>
      <w:r>
        <w:rPr>
          <w:rFonts w:hint="eastAsia" w:ascii="仿宋_GB2312" w:hAnsi="华文仿宋" w:eastAsia="仿宋_GB2312"/>
          <w:sz w:val="32"/>
          <w:lang w:eastAsia="zh-CN"/>
        </w:rPr>
        <w:t>内政办发〔2021〕58号</w:t>
      </w:r>
    </w:p>
    <w:p>
      <w:pPr>
        <w:keepNext w:val="0"/>
        <w:keepLines w:val="0"/>
        <w:pageBreakBefore w:val="0"/>
        <w:widowControl w:val="0"/>
        <w:kinsoku/>
        <w:wordWrap/>
        <w:overflowPunct/>
        <w:topLinePunct w:val="0"/>
        <w:autoSpaceDE/>
        <w:autoSpaceDN/>
        <w:bidi w:val="0"/>
        <w:spacing w:beforeAutospacing="0" w:line="500" w:lineRule="exact"/>
        <w:ind w:left="0"/>
        <w:jc w:val="center"/>
        <w:textAlignment w:val="auto"/>
        <w:rPr>
          <w:rFonts w:hint="eastAsia"/>
          <w:sz w:val="30"/>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440" w:lineRule="exact"/>
        <w:ind w:left="0" w:leftChars="0" w:firstLine="0" w:firstLineChars="0"/>
        <w:textAlignment w:val="auto"/>
        <w:rPr>
          <w:rFonts w:hint="eastAsia" w:ascii="方正楷体_GBK" w:hAnsi="方正楷体_GBK" w:eastAsia="方正楷体_GBK" w:cs="方正楷体_GBK"/>
          <w:kern w:val="0"/>
          <w:sz w:val="32"/>
          <w:szCs w:val="32"/>
          <w:lang w:val="en-US" w:eastAsia="zh-CN" w:bidi="mn-Mong-CN"/>
        </w:rPr>
      </w:pPr>
      <w:bookmarkStart w:id="3" w:name="主送单位"/>
      <w:bookmarkEnd w:id="3"/>
      <w:r>
        <w:rPr>
          <w:rFonts w:hint="eastAsia" w:ascii="方正楷体_GBK" w:hAnsi="方正楷体_GBK" w:eastAsia="方正楷体_GBK" w:cs="方正楷体_GBK"/>
          <w:kern w:val="0"/>
          <w:sz w:val="32"/>
          <w:szCs w:val="32"/>
          <w:lang w:val="en-US" w:eastAsia="zh-CN" w:bidi="mn-Mong-CN"/>
        </w:rPr>
        <w:t>各盟行政公署、市人民政府，自治区各委、办、厅、局，各大企业、事业单位：</w:t>
      </w:r>
    </w:p>
    <w:p>
      <w:pPr>
        <w:pStyle w:val="10"/>
        <w:keepNext w:val="0"/>
        <w:keepLines w:val="0"/>
        <w:pageBreakBefore w:val="0"/>
        <w:widowControl w:val="0"/>
        <w:kinsoku/>
        <w:wordWrap/>
        <w:overflowPunct/>
        <w:topLinePunct w:val="0"/>
        <w:autoSpaceDE/>
        <w:autoSpaceDN/>
        <w:bidi w:val="0"/>
        <w:adjustRightInd/>
        <w:snapToGrid/>
        <w:spacing w:beforeAutospacing="0" w:after="0" w:line="440" w:lineRule="exact"/>
        <w:ind w:left="0" w:firstLine="64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经自治区人民政府同意，现将《内蒙古自治区“十四五”民政事业发展规划》印发给你们，请结合实际，认真贯彻落实。</w:t>
      </w:r>
    </w:p>
    <w:p>
      <w:pPr>
        <w:pStyle w:val="10"/>
        <w:keepNext w:val="0"/>
        <w:keepLines w:val="0"/>
        <w:pageBreakBefore w:val="0"/>
        <w:kinsoku/>
        <w:wordWrap/>
        <w:overflowPunct/>
        <w:topLinePunct w:val="0"/>
        <w:autoSpaceDE/>
        <w:autoSpaceDN/>
        <w:bidi w:val="0"/>
        <w:spacing w:beforeAutospacing="0" w:after="0" w:line="580" w:lineRule="exact"/>
        <w:ind w:left="0" w:firstLine="64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kinsoku/>
        <w:wordWrap/>
        <w:overflowPunct/>
        <w:topLinePunct w:val="0"/>
        <w:autoSpaceDE/>
        <w:autoSpaceDN/>
        <w:bidi w:val="0"/>
        <w:spacing w:beforeAutospacing="0" w:after="0" w:line="58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100" w:lineRule="exact"/>
        <w:ind w:left="0" w:firstLine="4492" w:firstLineChars="1404"/>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5132" w:firstLineChars="1604"/>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2021年10月8日</w:t>
      </w: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eastAsia" w:ascii="方正楷体_GBK" w:hAnsi="方正楷体_GBK" w:eastAsia="方正楷体_GBK" w:cs="方正楷体_GBK"/>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0" w:line="480" w:lineRule="exact"/>
        <w:ind w:left="0" w:firstLine="640" w:firstLineChars="200"/>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jc w:val="both"/>
        <w:textAlignment w:val="auto"/>
        <w:rPr>
          <w:rFonts w:hint="eastAsia" w:ascii="方正仿宋_GBK" w:hAnsi="方正仿宋_GBK" w:eastAsia="方正仿宋_GBK" w:cs="方正仿宋_GBK"/>
          <w:bCs/>
          <w:color w:val="000000"/>
          <w:sz w:val="32"/>
          <w:szCs w:val="32"/>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Cs/>
          <w:color w:val="000000"/>
          <w:sz w:val="44"/>
          <w:szCs w:val="44"/>
          <w:u w:val="none" w:color="auto"/>
          <w:shd w:val="clear" w:color="auto" w:fill="auto"/>
        </w:rPr>
      </w:pPr>
      <w:r>
        <w:rPr>
          <w:rFonts w:hint="eastAsia" w:ascii="方正小标宋简体" w:hAnsi="方正小标宋简体" w:eastAsia="方正小标宋简体" w:cs="方正小标宋简体"/>
          <w:bCs/>
          <w:color w:val="000000"/>
          <w:sz w:val="44"/>
          <w:szCs w:val="44"/>
          <w:u w:val="none" w:color="auto"/>
          <w:shd w:val="clear" w:color="auto" w:fill="auto"/>
        </w:rPr>
        <w:t>内蒙古自治区“十四五”民政事业发展规划</w:t>
      </w:r>
    </w:p>
    <w:p>
      <w:pPr>
        <w:keepNext w:val="0"/>
        <w:keepLines w:val="0"/>
        <w:pageBreakBefore w:val="0"/>
        <w:widowControl w:val="0"/>
        <w:kinsoku/>
        <w:wordWrap/>
        <w:overflowPunct/>
        <w:topLinePunct w:val="0"/>
        <w:autoSpaceDE/>
        <w:autoSpaceDN/>
        <w:bidi w:val="0"/>
        <w:adjustRightInd/>
        <w:snapToGrid/>
        <w:spacing w:beforeAutospacing="0" w:line="560" w:lineRule="exact"/>
        <w:ind w:left="0"/>
        <w:jc w:val="center"/>
        <w:textAlignment w:val="auto"/>
        <w:rPr>
          <w:rFonts w:hint="eastAsia" w:ascii="方正仿宋_GBK" w:hAnsi="方正仿宋_GBK" w:eastAsia="方正仿宋_GBK" w:cs="方正仿宋_GBK"/>
          <w:color w:val="000000"/>
          <w:kern w:val="44"/>
          <w:sz w:val="32"/>
          <w:szCs w:val="32"/>
          <w:u w:val="none" w:color="auto"/>
          <w:shd w:val="clear" w:color="auto" w:fill="auto"/>
        </w:rPr>
      </w:pPr>
      <w:bookmarkStart w:id="4" w:name="_Toc23839"/>
    </w:p>
    <w:p>
      <w:pPr>
        <w:keepNext w:val="0"/>
        <w:keepLines w:val="0"/>
        <w:pageBreakBefore w:val="0"/>
        <w:widowControl w:val="0"/>
        <w:kinsoku/>
        <w:wordWrap/>
        <w:overflowPunct/>
        <w:topLinePunct w:val="0"/>
        <w:autoSpaceDE/>
        <w:autoSpaceDN/>
        <w:bidi w:val="0"/>
        <w:adjustRightInd/>
        <w:snapToGrid/>
        <w:spacing w:beforeAutospacing="0" w:line="560" w:lineRule="exact"/>
        <w:ind w:left="0"/>
        <w:jc w:val="center"/>
        <w:textAlignment w:val="auto"/>
        <w:rPr>
          <w:rFonts w:hint="eastAsia" w:ascii="方正黑体_GBK" w:hAnsi="方正黑体_GBK" w:eastAsia="方正黑体_GBK" w:cs="方正黑体_GBK"/>
          <w:color w:val="000000"/>
          <w:kern w:val="44"/>
          <w:sz w:val="32"/>
          <w:szCs w:val="32"/>
          <w:u w:val="none" w:color="auto"/>
          <w:shd w:val="clear" w:color="auto" w:fill="auto"/>
        </w:rPr>
      </w:pPr>
      <w:r>
        <w:rPr>
          <w:rFonts w:hint="eastAsia" w:ascii="方正黑体_GBK" w:hAnsi="方正黑体_GBK" w:eastAsia="方正黑体_GBK" w:cs="方正黑体_GBK"/>
          <w:color w:val="000000"/>
          <w:kern w:val="44"/>
          <w:sz w:val="32"/>
          <w:szCs w:val="32"/>
          <w:u w:val="none" w:color="auto"/>
          <w:shd w:val="clear" w:color="auto" w:fill="auto"/>
        </w:rPr>
        <w:t>目</w:t>
      </w:r>
      <w:r>
        <w:rPr>
          <w:rFonts w:hint="eastAsia" w:ascii="方正黑体_GBK" w:hAnsi="方正黑体_GBK" w:eastAsia="方正黑体_GBK" w:cs="方正黑体_GBK"/>
          <w:color w:val="000000"/>
          <w:kern w:val="44"/>
          <w:sz w:val="32"/>
          <w:szCs w:val="32"/>
          <w:u w:val="none" w:color="auto"/>
          <w:shd w:val="clear" w:color="auto" w:fill="auto"/>
          <w:lang w:val="en-US" w:eastAsia="zh-CN"/>
        </w:rPr>
        <w:t xml:space="preserve">    </w:t>
      </w:r>
      <w:r>
        <w:rPr>
          <w:rFonts w:hint="eastAsia" w:ascii="方正黑体_GBK" w:hAnsi="方正黑体_GBK" w:eastAsia="方正黑体_GBK" w:cs="方正黑体_GBK"/>
          <w:color w:val="000000"/>
          <w:kern w:val="44"/>
          <w:sz w:val="32"/>
          <w:szCs w:val="32"/>
          <w:u w:val="none" w:color="auto"/>
          <w:shd w:val="clear" w:color="auto" w:fill="auto"/>
        </w:rPr>
        <w:t>录</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"_Toc31455"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第一章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发展基础</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"_Toc24315"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第一节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主要成就</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"_Toc4687"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第二节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面临形势</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"_Toc18321"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第三节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指导思想和基本原则</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"_Toc12159"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第四节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发展目标</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_Toc16457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第二章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全力提升基本民生保障水平，在扎实推动共同富裕中作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1280" w:firstLineChars="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出新贡献</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napToGrid w:val="0"/>
          <w:spacing w:val="-6"/>
          <w:sz w:val="32"/>
          <w:szCs w:val="32"/>
          <w:lang w:val="en-US" w:eastAsia="zh-CN"/>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\l _Toc21791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 xml:space="preserve">第一节  </w:t>
      </w:r>
      <w:r>
        <w:rPr>
          <w:rFonts w:hint="eastAsia" w:ascii="方正仿宋_GBK" w:hAnsi="方正仿宋_GBK" w:eastAsia="方正仿宋_GBK" w:cs="方正仿宋_GBK"/>
          <w:snapToGrid w:val="0"/>
          <w:spacing w:val="-6"/>
          <w:sz w:val="32"/>
          <w:szCs w:val="32"/>
          <w:lang w:val="en-US" w:eastAsia="zh-CN"/>
        </w:rPr>
        <w:t>实现巩固拓展脱贫攻坚兜底保障成果同乡村振兴有效</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衔接</w:t>
      </w:r>
      <w:r>
        <w:rPr>
          <w:rFonts w:hint="eastAsia" w:ascii="方正仿宋_GBK" w:hAnsi="方正仿宋_GBK" w:eastAsia="方正仿宋_GBK" w:cs="方正仿宋_GBK"/>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"_Toc7723"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第二节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改革完善社会救助制度</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"_Toc21706"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第三节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提升儿童福利保障水平</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"_Toc16984"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第四节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完善残疾人福利制度</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_Toc12637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第三章  </w:t>
      </w:r>
      <w:r>
        <w:rPr>
          <w:rFonts w:hint="eastAsia" w:ascii="方正仿宋_GBK" w:hAnsi="方正仿宋_GBK" w:eastAsia="方正仿宋_GBK" w:cs="方正仿宋_GBK"/>
          <w:spacing w:val="-11"/>
          <w:sz w:val="32"/>
          <w:szCs w:val="32"/>
        </w:rPr>
        <w:t>构建基层社会治理新格局，提升群众参与能力和水平</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"_Toc14699"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第一节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夯实基层社会治理基础</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"_Toc27999"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第二节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深化城乡社区服务体系建设</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"_Toc19167"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第三节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推动社会组织健康有序发展</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"_Toc27960"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第四节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健全现代社会工作制度</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"_Toc8401"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第五节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积极发展慈善公益事业</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"_Toc5256"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第六节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促进志愿服务事业健康发展</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"_Toc12944"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第七节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加强行政区划和行政区域界线管理</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"_Toc16100"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第四章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强化基本社会服务，提升民生福祉水平</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"_Toc12497"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第一节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提升婚姻收养管理服务水平</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"_Toc30652"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第二节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健全未成年人保护体系</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"_Toc26770"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第三节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加强儿童保障和留守儿童、留守妇女关爱</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"_Toc12863"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第四节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推进地名管理和公共服务体系建设</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"_Toc31202"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第五节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提高康复辅助器具助老助残能力</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"_Toc2409"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第六节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完善殡葬公共服务体系</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"_Toc27184"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第五章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pacing w:val="-6"/>
          <w:sz w:val="32"/>
          <w:szCs w:val="32"/>
        </w:rPr>
        <w:t>完善养老服务体系，提升老年人获得感、幸福</w:t>
      </w:r>
      <w:r>
        <w:rPr>
          <w:rFonts w:hint="eastAsia" w:ascii="方正仿宋_GBK" w:hAnsi="方正仿宋_GBK" w:eastAsia="方正仿宋_GBK" w:cs="方正仿宋_GBK"/>
          <w:spacing w:val="-6"/>
          <w:sz w:val="32"/>
          <w:szCs w:val="32"/>
          <w:lang w:eastAsia="zh-CN"/>
        </w:rPr>
        <w:t>感</w:t>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"_Toc4531"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第一节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加强养老服务保障</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"_Toc5586"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第二节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构建居家社区机构养老服务网络</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"_Toc20721"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第三节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发展壮大养老服务产业</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"_Toc25299"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第四节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加强养老人才队伍建设</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"_Toc22110"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第五节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提升综合监管水平</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"_Toc26460"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第六章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强化规划实施保障</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"_Toc31730"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第一节</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坚持党的全面领导</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"_Toc2093"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第二节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加强民政法治化标准化建设</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"_Toc25456"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第三节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增强数字民政效能</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"_Toc30716"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第四节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优化民政资源配置</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"_Toc5323"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第五节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统筹发展和安全</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60" w:lineRule="exact"/>
        <w:ind w:left="0" w:firstLine="320" w:firstLineChars="100"/>
        <w:textAlignment w:val="auto"/>
        <w:rPr>
          <w:rFonts w:hint="eastAsia" w:ascii="方正仿宋_GBK" w:hAnsi="方正仿宋_GBK" w:eastAsia="方正仿宋_GBK" w:cs="方正仿宋_GBK"/>
          <w:sz w:val="32"/>
          <w:szCs w:val="32"/>
          <w:lang w:val="en-US" w:eastAsia="zh-CN"/>
        </w:rPr>
        <w:sectPr>
          <w:footerReference r:id="rId3" w:type="default"/>
          <w:footerReference r:id="rId4"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"_Toc1720"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 xml:space="preserve">第六节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加强规划执行情况监测评估</w:t>
      </w:r>
      <w:r>
        <w:rPr>
          <w:rFonts w:hint="eastAsia" w:ascii="方正仿宋_GBK" w:hAnsi="方正仿宋_GBK" w:eastAsia="方正仿宋_GBK" w:cs="方正仿宋_GBK"/>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hint="eastAsia" w:ascii="仿宋" w:hAnsi="仿宋" w:eastAsia="仿宋" w:cs="仿宋"/>
          <w:color w:val="000000"/>
          <w:spacing w:val="-6"/>
          <w:sz w:val="32"/>
          <w:szCs w:val="32"/>
          <w:u w:val="none" w:color="auto"/>
          <w:shd w:val="clear" w:color="auto" w:fill="auto"/>
        </w:rPr>
      </w:pPr>
      <w:r>
        <w:rPr>
          <w:rFonts w:hint="eastAsia" w:ascii="仿宋" w:hAnsi="仿宋" w:eastAsia="仿宋" w:cs="仿宋"/>
          <w:color w:val="000000"/>
          <w:spacing w:val="0"/>
          <w:sz w:val="32"/>
          <w:szCs w:val="32"/>
          <w:u w:val="none" w:color="auto"/>
          <w:shd w:val="clear" w:color="auto" w:fill="auto"/>
        </w:rPr>
        <w:t>根据《中华人民共和国国民经济和社会发展第十四个五年规</w:t>
      </w:r>
      <w:r>
        <w:rPr>
          <w:rFonts w:hint="eastAsia" w:ascii="仿宋" w:hAnsi="仿宋" w:eastAsia="仿宋" w:cs="仿宋"/>
          <w:color w:val="000000"/>
          <w:spacing w:val="11"/>
          <w:sz w:val="32"/>
          <w:szCs w:val="32"/>
          <w:u w:val="none" w:color="auto"/>
          <w:shd w:val="clear" w:color="auto" w:fill="auto"/>
        </w:rPr>
        <w:t>划纲要和2035年远景目标纲要》</w:t>
      </w:r>
      <w:r>
        <w:rPr>
          <w:rFonts w:hint="eastAsia" w:ascii="仿宋" w:hAnsi="仿宋" w:eastAsia="仿宋" w:cs="仿宋"/>
          <w:color w:val="000000"/>
          <w:spacing w:val="11"/>
          <w:sz w:val="32"/>
          <w:szCs w:val="32"/>
          <w:u w:val="none" w:color="auto"/>
          <w:shd w:val="clear" w:color="auto" w:fill="auto"/>
          <w:lang w:eastAsia="zh-CN"/>
        </w:rPr>
        <w:t>，</w:t>
      </w:r>
      <w:r>
        <w:rPr>
          <w:rFonts w:hint="eastAsia" w:ascii="仿宋" w:hAnsi="仿宋" w:eastAsia="仿宋" w:cs="仿宋"/>
          <w:color w:val="000000"/>
          <w:spacing w:val="11"/>
          <w:sz w:val="32"/>
          <w:szCs w:val="32"/>
          <w:u w:val="none" w:color="auto"/>
          <w:shd w:val="clear" w:color="auto" w:fill="auto"/>
        </w:rPr>
        <w:t>民政部、国家</w:t>
      </w:r>
      <w:r>
        <w:rPr>
          <w:rFonts w:hint="eastAsia" w:ascii="仿宋" w:hAnsi="仿宋" w:eastAsia="仿宋" w:cs="仿宋"/>
          <w:color w:val="000000"/>
          <w:spacing w:val="11"/>
          <w:sz w:val="32"/>
          <w:szCs w:val="32"/>
          <w:u w:val="none" w:color="auto"/>
          <w:shd w:val="clear" w:color="auto" w:fill="auto"/>
          <w:lang w:eastAsia="zh-CN"/>
        </w:rPr>
        <w:t>发展改革</w:t>
      </w:r>
      <w:r>
        <w:rPr>
          <w:rFonts w:hint="eastAsia" w:ascii="仿宋" w:hAnsi="仿宋" w:eastAsia="仿宋" w:cs="仿宋"/>
          <w:color w:val="000000"/>
          <w:spacing w:val="11"/>
          <w:sz w:val="32"/>
          <w:szCs w:val="32"/>
          <w:u w:val="none" w:color="auto"/>
          <w:shd w:val="clear" w:color="auto" w:fill="auto"/>
        </w:rPr>
        <w:t>委</w:t>
      </w:r>
      <w:r>
        <w:rPr>
          <w:rFonts w:hint="eastAsia" w:ascii="仿宋" w:hAnsi="仿宋" w:eastAsia="仿宋" w:cs="仿宋"/>
          <w:color w:val="000000"/>
          <w:spacing w:val="0"/>
          <w:sz w:val="32"/>
          <w:szCs w:val="32"/>
          <w:u w:val="none" w:color="auto"/>
          <w:shd w:val="clear" w:color="auto" w:fill="auto"/>
        </w:rPr>
        <w:t>《“十四五”民政事业发展规划》</w:t>
      </w:r>
      <w:r>
        <w:rPr>
          <w:rFonts w:hint="eastAsia" w:ascii="仿宋" w:hAnsi="仿宋" w:eastAsia="仿宋" w:cs="仿宋"/>
          <w:color w:val="000000"/>
          <w:spacing w:val="0"/>
          <w:sz w:val="32"/>
          <w:szCs w:val="32"/>
          <w:u w:val="none" w:color="auto"/>
          <w:shd w:val="clear" w:color="auto" w:fill="auto"/>
          <w:lang w:eastAsia="zh-CN"/>
        </w:rPr>
        <w:t>以及</w:t>
      </w:r>
      <w:r>
        <w:rPr>
          <w:rFonts w:hint="eastAsia" w:ascii="仿宋" w:hAnsi="仿宋" w:eastAsia="仿宋" w:cs="仿宋"/>
          <w:color w:val="000000"/>
          <w:spacing w:val="0"/>
          <w:sz w:val="32"/>
          <w:szCs w:val="32"/>
          <w:u w:val="none" w:color="auto"/>
          <w:shd w:val="clear" w:color="auto" w:fill="auto"/>
        </w:rPr>
        <w:t>《内蒙古自治区国民经济</w:t>
      </w:r>
      <w:r>
        <w:rPr>
          <w:rFonts w:hint="eastAsia" w:ascii="仿宋" w:hAnsi="仿宋" w:eastAsia="仿宋" w:cs="仿宋"/>
          <w:color w:val="000000"/>
          <w:spacing w:val="-6"/>
          <w:sz w:val="32"/>
          <w:szCs w:val="32"/>
          <w:u w:val="none" w:color="auto"/>
          <w:shd w:val="clear" w:color="auto" w:fill="auto"/>
        </w:rPr>
        <w:t>和社会发展第十四个五年规划和2035年远景目标纲要》，制定本规划。</w:t>
      </w:r>
      <w:bookmarkStart w:id="5" w:name="_Toc28046"/>
      <w:bookmarkStart w:id="6" w:name="_Toc31455"/>
      <w:bookmarkStart w:id="7" w:name="_Toc16729"/>
    </w:p>
    <w:bookmarkEnd w:id="5"/>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0"/>
        <w:rPr>
          <w:rFonts w:hint="eastAsia" w:ascii="黑体" w:hAnsi="黑体" w:eastAsia="黑体" w:cs="黑体"/>
          <w:color w:val="000000"/>
          <w:spacing w:val="0"/>
          <w:sz w:val="32"/>
          <w:szCs w:val="32"/>
          <w:u w:val="none" w:color="auto"/>
          <w:shd w:val="clear" w:color="auto" w:fill="auto"/>
        </w:rPr>
      </w:pPr>
      <w:r>
        <w:rPr>
          <w:rFonts w:hint="eastAsia" w:ascii="黑体" w:hAnsi="黑体" w:eastAsia="黑体" w:cs="黑体"/>
          <w:color w:val="000000"/>
          <w:spacing w:val="0"/>
          <w:sz w:val="32"/>
          <w:szCs w:val="32"/>
          <w:u w:val="none" w:color="auto"/>
          <w:shd w:val="clear" w:color="auto" w:fill="auto"/>
          <w:lang w:val="en-US" w:eastAsia="zh-CN"/>
        </w:rPr>
        <w:t xml:space="preserve"> </w:t>
      </w:r>
      <w:r>
        <w:rPr>
          <w:rFonts w:hint="eastAsia" w:ascii="黑体" w:hAnsi="黑体" w:eastAsia="黑体" w:cs="黑体"/>
          <w:color w:val="000000"/>
          <w:spacing w:val="0"/>
          <w:sz w:val="32"/>
          <w:szCs w:val="32"/>
          <w:u w:val="none" w:color="auto"/>
          <w:shd w:val="clear" w:color="auto" w:fill="auto"/>
        </w:rPr>
        <w:t>发展基础</w:t>
      </w:r>
      <w:bookmarkEnd w:id="6"/>
      <w:bookmarkEnd w:id="7"/>
      <w:bookmarkStart w:id="8" w:name="_Toc18369"/>
      <w:bookmarkStart w:id="9" w:name="_Toc24315"/>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313" w:afterLines="100" w:line="580" w:lineRule="exact"/>
        <w:ind w:left="0"/>
        <w:jc w:val="center"/>
        <w:textAlignment w:val="auto"/>
        <w:outlineLvl w:val="1"/>
        <w:rPr>
          <w:rFonts w:hint="eastAsia" w:ascii="楷体" w:hAnsi="楷体" w:eastAsia="楷体" w:cs="楷体"/>
          <w:bCs/>
          <w:color w:val="000000"/>
          <w:spacing w:val="0"/>
          <w:sz w:val="32"/>
          <w:szCs w:val="32"/>
          <w:u w:val="none" w:color="auto"/>
          <w:shd w:val="clear" w:color="auto" w:fill="auto"/>
        </w:rPr>
      </w:pPr>
      <w:r>
        <w:rPr>
          <w:rFonts w:hint="eastAsia" w:ascii="楷体" w:hAnsi="楷体" w:eastAsia="楷体" w:cs="楷体"/>
          <w:bCs/>
          <w:color w:val="000000"/>
          <w:spacing w:val="0"/>
          <w:sz w:val="32"/>
          <w:szCs w:val="32"/>
          <w:u w:val="none" w:color="auto"/>
          <w:shd w:val="clear" w:color="auto" w:fill="auto"/>
        </w:rPr>
        <w:t>主要成就</w:t>
      </w:r>
      <w:bookmarkEnd w:id="8"/>
      <w:bookmarkEnd w:id="9"/>
    </w:p>
    <w:p>
      <w:pPr>
        <w:keepNext w:val="0"/>
        <w:keepLines w:val="0"/>
        <w:pageBreakBefore w:val="0"/>
        <w:widowControl w:val="0"/>
        <w:kinsoku/>
        <w:wordWrap/>
        <w:overflowPunct/>
        <w:topLinePunct/>
        <w:autoSpaceDE/>
        <w:autoSpaceDN/>
        <w:bidi w:val="0"/>
        <w:adjustRightInd/>
        <w:snapToGrid/>
        <w:spacing w:beforeAutospacing="0" w:line="580" w:lineRule="exact"/>
        <w:ind w:left="0" w:firstLine="640" w:firstLineChars="200"/>
        <w:textAlignment w:val="auto"/>
        <w:rPr>
          <w:rFonts w:hint="eastAsia" w:ascii="仿宋" w:hAnsi="仿宋" w:eastAsia="仿宋" w:cs="仿宋"/>
          <w:color w:val="000000"/>
          <w:spacing w:val="0"/>
          <w:sz w:val="32"/>
          <w:szCs w:val="32"/>
          <w:u w:val="none" w:color="auto"/>
          <w:shd w:val="clear" w:color="auto" w:fill="auto"/>
        </w:rPr>
      </w:pPr>
      <w:r>
        <w:rPr>
          <w:rFonts w:hint="eastAsia" w:ascii="仿宋" w:hAnsi="仿宋" w:eastAsia="仿宋" w:cs="仿宋"/>
          <w:color w:val="000000"/>
          <w:spacing w:val="0"/>
          <w:sz w:val="32"/>
          <w:szCs w:val="32"/>
          <w:u w:val="none" w:color="auto"/>
          <w:shd w:val="clear" w:color="auto" w:fill="auto"/>
        </w:rPr>
        <w:t>“十三五”时期，全区民政系统全面贯彻习近平总书记</w:t>
      </w:r>
      <w:r>
        <w:rPr>
          <w:rFonts w:hint="eastAsia" w:ascii="仿宋" w:hAnsi="仿宋" w:eastAsia="仿宋" w:cs="仿宋"/>
          <w:color w:val="000000"/>
          <w:spacing w:val="0"/>
          <w:sz w:val="32"/>
          <w:szCs w:val="32"/>
          <w:u w:val="none" w:color="auto"/>
          <w:shd w:val="clear" w:color="auto" w:fill="auto"/>
          <w:lang w:eastAsia="zh-CN"/>
        </w:rPr>
        <w:t>对</w:t>
      </w:r>
      <w:r>
        <w:rPr>
          <w:rFonts w:hint="eastAsia" w:ascii="仿宋" w:hAnsi="仿宋" w:eastAsia="仿宋" w:cs="仿宋"/>
          <w:color w:val="000000"/>
          <w:spacing w:val="0"/>
          <w:sz w:val="32"/>
          <w:szCs w:val="32"/>
          <w:u w:val="none" w:color="auto"/>
          <w:shd w:val="clear" w:color="auto" w:fill="auto"/>
        </w:rPr>
        <w:t>内蒙古重要讲话重要指示批示精神，</w:t>
      </w:r>
      <w:r>
        <w:rPr>
          <w:rFonts w:hint="eastAsia" w:ascii="仿宋" w:hAnsi="仿宋" w:eastAsia="仿宋" w:cs="仿宋"/>
          <w:color w:val="000000"/>
          <w:spacing w:val="0"/>
          <w:sz w:val="32"/>
          <w:szCs w:val="32"/>
          <w:u w:val="none" w:color="auto"/>
          <w:shd w:val="clear" w:color="auto" w:fill="auto"/>
          <w:lang w:eastAsia="zh-CN"/>
        </w:rPr>
        <w:t>认真</w:t>
      </w:r>
      <w:r>
        <w:rPr>
          <w:rFonts w:hint="eastAsia" w:ascii="仿宋" w:hAnsi="仿宋" w:eastAsia="仿宋" w:cs="仿宋"/>
          <w:color w:val="000000"/>
          <w:spacing w:val="0"/>
          <w:sz w:val="32"/>
          <w:szCs w:val="32"/>
          <w:u w:val="none" w:color="auto"/>
          <w:shd w:val="clear" w:color="auto" w:fill="auto"/>
        </w:rPr>
        <w:t>落实党中央、国务院决策部署和自治区党委、政府工作要求，全面践行以人民为中心的发展思想，扎实履行基本民生保障、基层社会治理、基本社会服务等职责，“十三五”规划确定的主要目标任务全面完成，各项工作取得新进展，为自治区改革发展稳定大局作出了积极贡献。</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bCs/>
          <w:color w:val="000000"/>
          <w:spacing w:val="0"/>
          <w:sz w:val="32"/>
          <w:szCs w:val="32"/>
          <w:u w:val="none" w:color="auto"/>
          <w:shd w:val="clear" w:color="auto" w:fill="auto"/>
          <w:lang w:eastAsia="zh-CN"/>
        </w:rPr>
        <w:t>——</w:t>
      </w:r>
      <w:r>
        <w:rPr>
          <w:rFonts w:hint="eastAsia" w:ascii="仿宋_GB2312" w:hAnsi="仿宋_GB2312" w:eastAsia="仿宋_GB2312" w:cs="仿宋_GB2312"/>
          <w:b w:val="0"/>
          <w:bCs/>
          <w:color w:val="000000"/>
          <w:spacing w:val="0"/>
          <w:sz w:val="32"/>
          <w:szCs w:val="32"/>
          <w:u w:val="none" w:color="auto"/>
          <w:shd w:val="clear" w:color="auto" w:fill="auto"/>
        </w:rPr>
        <w:t>服务保障大局成效明显。</w:t>
      </w:r>
      <w:r>
        <w:rPr>
          <w:rFonts w:hint="eastAsia" w:ascii="仿宋" w:hAnsi="仿宋" w:eastAsia="仿宋" w:cs="仿宋"/>
          <w:color w:val="000000"/>
          <w:spacing w:val="0"/>
          <w:sz w:val="32"/>
          <w:szCs w:val="32"/>
          <w:u w:val="none" w:color="auto"/>
          <w:shd w:val="clear" w:color="auto" w:fill="auto"/>
        </w:rPr>
        <w:t>坚决履行脱贫攻坚兜底保障政治责任，创新优化政策供给，全区所有旗县（市、区）农村最低生活保障标准均动态超过国家扶贫标准</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lang w:val="en-US" w:eastAsia="zh-CN"/>
        </w:rPr>
        <w:t>42.42</w:t>
      </w:r>
      <w:r>
        <w:rPr>
          <w:rFonts w:hint="eastAsia" w:ascii="仿宋" w:hAnsi="仿宋" w:eastAsia="仿宋" w:cs="仿宋"/>
          <w:color w:val="000000"/>
          <w:spacing w:val="0"/>
          <w:sz w:val="32"/>
          <w:szCs w:val="32"/>
          <w:u w:val="none" w:color="auto"/>
          <w:shd w:val="clear" w:color="auto" w:fill="auto"/>
        </w:rPr>
        <w:t>万建</w:t>
      </w:r>
      <w:r>
        <w:rPr>
          <w:rFonts w:hint="eastAsia" w:ascii="仿宋" w:hAnsi="仿宋" w:eastAsia="仿宋" w:cs="仿宋"/>
          <w:bCs/>
          <w:color w:val="000000"/>
          <w:spacing w:val="0"/>
          <w:sz w:val="32"/>
          <w:szCs w:val="32"/>
          <w:u w:val="none" w:color="auto"/>
          <w:shd w:val="clear" w:color="auto" w:fill="auto"/>
        </w:rPr>
        <w:t>档立卡贫困人口纳入低保或特困供养，实现“不落一户、不落一人”目标</w:t>
      </w:r>
      <w:r>
        <w:rPr>
          <w:rFonts w:hint="eastAsia" w:ascii="仿宋" w:hAnsi="仿宋" w:eastAsia="仿宋" w:cs="仿宋"/>
          <w:color w:val="000000"/>
          <w:spacing w:val="0"/>
          <w:sz w:val="32"/>
          <w:szCs w:val="32"/>
          <w:u w:val="none" w:color="auto"/>
          <w:shd w:val="clear" w:color="auto" w:fill="auto"/>
        </w:rPr>
        <w:t>，脱贫攻坚“兜底一批”任务圆满完成。扎实做好民政领域疫情防控工作，引导社会力量踊跃捐款捐物，动员社区工作者和社会组织、专业社工、志愿者投身疫情防控，实现民政服务机构保障对象“零感染”，各类困难群众基本生活得到有效保障。对贫困地区、边境地区等特殊类型地区倾斜支持力度持续加大，在深入实施区域重大战略、区域协调发展战略中积极贡献民政方案。社会</w:t>
      </w:r>
      <w:r>
        <w:rPr>
          <w:rFonts w:hint="eastAsia" w:ascii="仿宋" w:hAnsi="仿宋" w:eastAsia="仿宋" w:cs="仿宋"/>
          <w:color w:val="000000"/>
          <w:spacing w:val="-6"/>
          <w:sz w:val="32"/>
          <w:szCs w:val="32"/>
          <w:u w:val="none" w:color="auto"/>
          <w:shd w:val="clear" w:color="auto" w:fill="auto"/>
        </w:rPr>
        <w:t>组织发展更加规范，社区治理服务体系更加完善，“平安边界”创建成效明显，民政工作服务自治区经济社会发展的作用有效发挥。</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bCs/>
          <w:color w:val="000000"/>
          <w:spacing w:val="0"/>
          <w:sz w:val="32"/>
          <w:szCs w:val="32"/>
          <w:u w:val="none" w:color="auto"/>
          <w:shd w:val="clear" w:color="auto" w:fill="auto"/>
        </w:rPr>
        <w:t>——</w:t>
      </w:r>
      <w:r>
        <w:rPr>
          <w:rFonts w:hint="eastAsia" w:ascii="仿宋_GB2312" w:hAnsi="仿宋_GB2312" w:eastAsia="仿宋_GB2312" w:cs="仿宋_GB2312"/>
          <w:b w:val="0"/>
          <w:bCs/>
          <w:color w:val="000000"/>
          <w:spacing w:val="0"/>
          <w:sz w:val="32"/>
          <w:szCs w:val="32"/>
          <w:u w:val="none" w:color="auto"/>
          <w:shd w:val="clear" w:color="auto" w:fill="auto"/>
        </w:rPr>
        <w:t>法规制度体系持续完善。</w:t>
      </w:r>
      <w:r>
        <w:rPr>
          <w:rFonts w:hint="eastAsia" w:ascii="仿宋" w:hAnsi="仿宋" w:eastAsia="仿宋" w:cs="仿宋"/>
          <w:color w:val="000000"/>
          <w:spacing w:val="0"/>
          <w:sz w:val="32"/>
          <w:szCs w:val="32"/>
          <w:u w:val="none" w:color="auto"/>
          <w:shd w:val="clear" w:color="auto" w:fill="auto"/>
        </w:rPr>
        <w:t>围绕实现民政工作法治化、规范化运行，先后修订《内蒙古自治区老年人权益保障条例》《内蒙古自治区实施〈中华人民共和国村民委员会组织法〉办法》等地方性法规，出台《关于全面放开养老服务市场提升养老服务质量的实施意见》，制定《关于加强苏木乡镇政府服务能力建设的实施方案》《关于改革社会组织登记管理制度促进社会组织健康有序发展的实施意见》等政策性文件。不断完善机制建设，建立了困难群众基本生活保障、养老服务、留守儿童和困境儿童关爱保护等部门联席会议制度，民政工作的制度机制更加健全。</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color w:val="000000"/>
          <w:spacing w:val="0"/>
          <w:sz w:val="32"/>
          <w:szCs w:val="32"/>
          <w:u w:val="none" w:color="auto"/>
          <w:shd w:val="clear" w:color="auto" w:fill="auto"/>
        </w:rPr>
        <w:t>——</w:t>
      </w:r>
      <w:r>
        <w:rPr>
          <w:rFonts w:hint="eastAsia" w:ascii="仿宋" w:hAnsi="仿宋" w:eastAsia="仿宋" w:cs="仿宋"/>
          <w:color w:val="000000"/>
          <w:spacing w:val="0"/>
          <w:sz w:val="32"/>
          <w:szCs w:val="32"/>
          <w:u w:val="none" w:color="auto"/>
          <w:shd w:val="clear" w:color="auto" w:fill="auto"/>
        </w:rPr>
        <w:t>基本民生保障有力有效。全面推行低保对象综合认定标准化指标体系和规范化审核审批流程，建立自治区居民家庭经济状况核对平台。2020年，全区城市、农村牧区最低生活保障平均标准分别达到732元/人•月和6307元/人•年，“十三五”期间年均分别增长8.1%和12.8%。特困人员护理补贴制度全面落实，孤儿基本生活保障标准持续提升，事实无人抚养儿童基本生活补贴制度基本建立，困难残疾人生活补贴和重度残疾人护理补贴发放人数分别达到30.85万和28.47万</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临时救助有效实施，累计救助各类流浪乞讨人员、生活无着人员5.73万人次。</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color w:val="000000"/>
          <w:spacing w:val="0"/>
          <w:sz w:val="32"/>
          <w:szCs w:val="32"/>
          <w:u w:val="none" w:color="auto"/>
          <w:shd w:val="clear" w:color="auto" w:fill="auto"/>
        </w:rPr>
        <w:t>——</w:t>
      </w:r>
      <w:r>
        <w:rPr>
          <w:rFonts w:hint="eastAsia" w:ascii="仿宋" w:hAnsi="仿宋" w:eastAsia="仿宋" w:cs="仿宋"/>
          <w:b w:val="0"/>
          <w:color w:val="000000"/>
          <w:spacing w:val="0"/>
          <w:sz w:val="32"/>
          <w:szCs w:val="32"/>
          <w:u w:val="none" w:color="auto"/>
          <w:shd w:val="clear" w:color="auto" w:fill="auto"/>
        </w:rPr>
        <w:t>基层社会治理更加深入</w:t>
      </w:r>
      <w:r>
        <w:rPr>
          <w:rFonts w:hint="eastAsia" w:ascii="仿宋" w:hAnsi="仿宋" w:eastAsia="仿宋" w:cs="仿宋"/>
          <w:color w:val="000000"/>
          <w:spacing w:val="0"/>
          <w:sz w:val="32"/>
          <w:szCs w:val="32"/>
          <w:u w:val="none" w:color="auto"/>
          <w:shd w:val="clear" w:color="auto" w:fill="auto"/>
        </w:rPr>
        <w:t>。圆满完成全区第九届、第十届嘎查村（居）“两委”换届选举工作。指导基层全面修订村规民约，全区86%以上的旗县（市、区）制订了基层民主协商目录。城乡社区综合服务设施实现全覆盖，城镇社区公共服务综合信息平台覆盖率达到80%，开展“社区万能章”治理专项行动。全区社会组织数量达到1.75万家，吸纳社会各类人员就业7万余人，行业协会商会类、科技类、公益慈善类、城乡社区服务类社会组织直接登记率达到18.2%，3428家行业协会商会完成与行政机关脱钩改革任务，政府向社会组织购买服务工作持续推进。全区持证社会工作者达到7500余人，志愿服务团体达到1.52万个，注册志愿者320余万人。全区认定、直接登记的慈善组织155家，其中具有公开募捐资格的48家。</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bCs/>
          <w:color w:val="000000"/>
          <w:spacing w:val="0"/>
          <w:sz w:val="32"/>
          <w:szCs w:val="32"/>
          <w:u w:val="none" w:color="auto"/>
          <w:shd w:val="clear" w:color="auto" w:fill="auto"/>
        </w:rPr>
        <w:t>——</w:t>
      </w:r>
      <w:r>
        <w:rPr>
          <w:rFonts w:hint="eastAsia" w:ascii="仿宋" w:hAnsi="仿宋" w:eastAsia="仿宋" w:cs="仿宋"/>
          <w:b w:val="0"/>
          <w:bCs/>
          <w:color w:val="000000"/>
          <w:spacing w:val="0"/>
          <w:sz w:val="32"/>
          <w:szCs w:val="32"/>
          <w:u w:val="none" w:color="auto"/>
          <w:shd w:val="clear" w:color="auto" w:fill="auto"/>
        </w:rPr>
        <w:t>基本社会服务持续拓展</w:t>
      </w:r>
      <w:r>
        <w:rPr>
          <w:rFonts w:hint="eastAsia" w:ascii="仿宋" w:hAnsi="仿宋" w:eastAsia="仿宋" w:cs="仿宋"/>
          <w:bCs/>
          <w:color w:val="000000"/>
          <w:spacing w:val="0"/>
          <w:sz w:val="32"/>
          <w:szCs w:val="32"/>
          <w:u w:val="none" w:color="auto"/>
          <w:shd w:val="clear" w:color="auto" w:fill="auto"/>
        </w:rPr>
        <w:t>。</w:t>
      </w:r>
      <w:r>
        <w:rPr>
          <w:rFonts w:hint="eastAsia" w:ascii="仿宋" w:hAnsi="仿宋" w:eastAsia="仿宋" w:cs="仿宋"/>
          <w:color w:val="000000"/>
          <w:spacing w:val="0"/>
          <w:sz w:val="32"/>
          <w:szCs w:val="32"/>
          <w:u w:val="none" w:color="auto"/>
          <w:shd w:val="clear" w:color="auto" w:fill="auto"/>
        </w:rPr>
        <w:t>居家社区机构相协调、医养康养相结合的养老服务体系初步建立，全区公办、民办养老机构达到751家，床位数8.54万张，626所养老机构可</w:t>
      </w:r>
      <w:r>
        <w:rPr>
          <w:rFonts w:hint="eastAsia" w:ascii="仿宋" w:hAnsi="仿宋" w:eastAsia="仿宋" w:cs="仿宋"/>
          <w:color w:val="000000"/>
          <w:spacing w:val="0"/>
          <w:sz w:val="32"/>
          <w:szCs w:val="32"/>
          <w:u w:val="none" w:color="auto"/>
          <w:shd w:val="clear" w:color="auto" w:fill="auto"/>
          <w:lang w:eastAsia="zh-CN"/>
        </w:rPr>
        <w:t>提</w:t>
      </w:r>
      <w:r>
        <w:rPr>
          <w:rFonts w:hint="eastAsia" w:ascii="仿宋" w:hAnsi="仿宋" w:eastAsia="仿宋" w:cs="仿宋"/>
          <w:color w:val="000000"/>
          <w:spacing w:val="0"/>
          <w:sz w:val="32"/>
          <w:szCs w:val="32"/>
          <w:u w:val="none" w:color="auto"/>
          <w:shd w:val="clear" w:color="auto" w:fill="auto"/>
        </w:rPr>
        <w:t>供医疗卫生服务</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建成农村互助养老幸福院1590处</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床位数14.06万张，居家社区和机构养老初步实现信息化管理。呼和浩特市、包头市、乌海市积极推进居家和社区养老服务国家试点工作，取得积极成效。连续四年开展养老院服务质量建设专项行动，养老机构服务管理安全水平进一步提高。婚姻登记标准化、规范化水平进一步提升，全面完成1970年以来的婚姻登记历史档案数据录入工作。新建、改扩建殡仪馆41个</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新建城市公益性公墓19处，全区火化率达到51%，惠民殡葬政策全面落实。报请国务院批准设立了鄂尔多斯市康巴什区，完成苏木乡镇、街道行政区划调整25项。制定《内蒙古自治区设镇、街道标准》《设镇、街道申报审核程序》。圆满完成自治区第二次全国地名普查任务，共普查地名26.58万条</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建成自治区行政区划地名信息查询平台，编制了《内蒙古自治区行政区划图集》。完成</w:t>
      </w:r>
      <w:r>
        <w:rPr>
          <w:rFonts w:hint="eastAsia" w:ascii="仿宋" w:hAnsi="仿宋" w:eastAsia="仿宋" w:cs="仿宋"/>
          <w:color w:val="000000"/>
          <w:spacing w:val="0"/>
          <w:sz w:val="32"/>
          <w:szCs w:val="32"/>
          <w:u w:val="none" w:color="auto"/>
          <w:shd w:val="clear" w:color="auto" w:fill="auto"/>
          <w:lang w:val="zh-CN"/>
        </w:rPr>
        <w:t>毗邻8省区行政区域界线</w:t>
      </w:r>
      <w:r>
        <w:rPr>
          <w:rFonts w:hint="eastAsia" w:ascii="仿宋" w:hAnsi="仿宋" w:eastAsia="仿宋" w:cs="仿宋"/>
          <w:color w:val="000000"/>
          <w:spacing w:val="0"/>
          <w:sz w:val="32"/>
          <w:szCs w:val="32"/>
          <w:u w:val="none" w:color="auto"/>
          <w:shd w:val="clear" w:color="auto" w:fill="auto"/>
          <w:lang w:val="zh-TW" w:eastAsia="zh-TW"/>
        </w:rPr>
        <w:t>联检任务</w:t>
      </w:r>
      <w:r>
        <w:rPr>
          <w:rFonts w:hint="eastAsia" w:ascii="仿宋" w:hAnsi="仿宋" w:eastAsia="仿宋" w:cs="仿宋"/>
          <w:color w:val="000000"/>
          <w:spacing w:val="0"/>
          <w:sz w:val="32"/>
          <w:szCs w:val="32"/>
          <w:u w:val="none" w:color="auto"/>
          <w:shd w:val="clear" w:color="auto" w:fill="auto"/>
        </w:rPr>
        <w:t>。全区福利彩票累计销售253.06亿元，筹集公益金75.43亿元，为民政事业发展提供了有力支持。</w:t>
      </w:r>
    </w:p>
    <w:bookmarkEnd w:id="4"/>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313" w:afterLines="100" w:line="580" w:lineRule="exact"/>
        <w:ind w:left="0" w:leftChars="0" w:firstLine="0" w:firstLineChars="0"/>
        <w:jc w:val="center"/>
        <w:textAlignment w:val="auto"/>
        <w:outlineLvl w:val="1"/>
        <w:rPr>
          <w:rFonts w:hint="eastAsia" w:ascii="楷体" w:hAnsi="楷体" w:eastAsia="楷体" w:cs="楷体"/>
          <w:bCs/>
          <w:color w:val="000000"/>
          <w:spacing w:val="0"/>
          <w:sz w:val="32"/>
          <w:szCs w:val="32"/>
          <w:u w:val="none" w:color="auto"/>
          <w:shd w:val="clear" w:color="auto" w:fill="auto"/>
        </w:rPr>
      </w:pPr>
      <w:bookmarkStart w:id="10" w:name="_Toc6786"/>
      <w:bookmarkStart w:id="11" w:name="_Toc4687"/>
      <w:bookmarkStart w:id="12" w:name="_Toc29884"/>
      <w:r>
        <w:rPr>
          <w:rFonts w:hint="eastAsia" w:ascii="楷体" w:hAnsi="楷体" w:eastAsia="楷体" w:cs="楷体"/>
          <w:bCs/>
          <w:color w:val="000000"/>
          <w:spacing w:val="0"/>
          <w:sz w:val="32"/>
          <w:szCs w:val="32"/>
          <w:u w:val="none" w:color="auto"/>
          <w:shd w:val="clear" w:color="auto" w:fill="auto"/>
        </w:rPr>
        <w:t>面临形势</w:t>
      </w:r>
      <w:bookmarkEnd w:id="10"/>
      <w:bookmarkEnd w:id="11"/>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仿宋" w:hAnsi="仿宋" w:eastAsia="仿宋" w:cs="仿宋"/>
          <w:color w:val="000000"/>
          <w:spacing w:val="0"/>
          <w:sz w:val="32"/>
          <w:szCs w:val="32"/>
          <w:u w:val="none" w:color="auto"/>
          <w:shd w:val="clear" w:color="auto" w:fill="auto"/>
        </w:rPr>
        <w:t>习近平总书记指出：“民政工作关系民生、连着民心，是社会建设的兜底性、基础性工作”“各级民政部门要加强党的建设，坚持改革创新，聚焦脱贫攻坚，聚焦特殊群体，聚焦群众关切，更好履行基本民生保障、基层社会治理、基本社会服务等职责，为全面建成小康社会、全面建设社会主义现代化国家作出新的贡献”。习近平总书记的重要指示深刻指出了新时代民政工作的地位作用、基本职责、根本保障、发展动力和使命任务，科学回答了新时代新阶段如何定位民政工作、如何做好民政工作等重大问题，为民政事业改革发展指明了前进方向，提供了根本遵循。</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仿宋" w:hAnsi="仿宋" w:eastAsia="仿宋" w:cs="仿宋"/>
          <w:color w:val="000000"/>
          <w:spacing w:val="0"/>
          <w:sz w:val="32"/>
          <w:szCs w:val="32"/>
          <w:u w:val="none" w:color="auto"/>
          <w:shd w:val="clear" w:color="auto" w:fill="auto"/>
        </w:rPr>
        <w:t>党的十九大和十九届二中、三中、四中、五中全会对民政工作作出战略部署，党中央、国务院在一系列重要会议和</w:t>
      </w:r>
      <w:r>
        <w:rPr>
          <w:rFonts w:hint="eastAsia" w:ascii="仿宋" w:hAnsi="仿宋" w:eastAsia="仿宋" w:cs="仿宋"/>
          <w:color w:val="000000"/>
          <w:spacing w:val="0"/>
          <w:sz w:val="32"/>
          <w:szCs w:val="32"/>
          <w:u w:val="none" w:color="auto"/>
          <w:shd w:val="clear" w:color="auto" w:fill="auto"/>
          <w:lang w:eastAsia="zh-CN"/>
        </w:rPr>
        <w:t>相关文件</w:t>
      </w:r>
      <w:r>
        <w:rPr>
          <w:rFonts w:hint="eastAsia" w:ascii="仿宋" w:hAnsi="仿宋" w:eastAsia="仿宋" w:cs="仿宋"/>
          <w:color w:val="000000"/>
          <w:spacing w:val="0"/>
          <w:sz w:val="32"/>
          <w:szCs w:val="32"/>
          <w:u w:val="none" w:color="auto"/>
          <w:shd w:val="clear" w:color="auto" w:fill="auto"/>
        </w:rPr>
        <w:t>中</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对民政工作作出系统安排，</w:t>
      </w:r>
      <w:r>
        <w:rPr>
          <w:rFonts w:hint="eastAsia" w:ascii="仿宋" w:hAnsi="仿宋" w:eastAsia="仿宋" w:cs="仿宋"/>
          <w:color w:val="000000"/>
          <w:spacing w:val="0"/>
          <w:sz w:val="32"/>
          <w:szCs w:val="32"/>
          <w:u w:val="none" w:color="auto"/>
          <w:shd w:val="clear" w:color="auto" w:fill="auto"/>
          <w:lang w:eastAsia="zh-CN"/>
        </w:rPr>
        <w:t>并</w:t>
      </w:r>
      <w:r>
        <w:rPr>
          <w:rFonts w:hint="eastAsia" w:ascii="仿宋" w:hAnsi="仿宋" w:eastAsia="仿宋" w:cs="仿宋"/>
          <w:color w:val="000000"/>
          <w:spacing w:val="0"/>
          <w:sz w:val="32"/>
          <w:szCs w:val="32"/>
          <w:u w:val="none" w:color="auto"/>
          <w:shd w:val="clear" w:color="auto" w:fill="auto"/>
        </w:rPr>
        <w:t>对民政事业发展提出了新的更高要求，为不断健全完善基本民生保障制度体系，加快形成党组织领导的自治、法治、德治相结合的城乡基层社会治理新格局，推动养老、殡葬等基本社会服务更加均等可及，明确了时间表、任务书和路线图，为民政工作更好发挥社会建设兜底性、基础性作用</w:t>
      </w:r>
      <w:r>
        <w:rPr>
          <w:rFonts w:hint="eastAsia" w:ascii="仿宋" w:hAnsi="仿宋" w:eastAsia="仿宋" w:cs="仿宋"/>
          <w:color w:val="000000"/>
          <w:spacing w:val="0"/>
          <w:sz w:val="32"/>
          <w:szCs w:val="32"/>
          <w:u w:val="none" w:color="auto"/>
          <w:shd w:val="clear" w:color="auto" w:fill="auto"/>
          <w:lang w:eastAsia="zh-CN"/>
        </w:rPr>
        <w:t>做</w:t>
      </w:r>
      <w:r>
        <w:rPr>
          <w:rFonts w:hint="eastAsia" w:ascii="仿宋" w:hAnsi="仿宋" w:eastAsia="仿宋" w:cs="仿宋"/>
          <w:color w:val="000000"/>
          <w:spacing w:val="0"/>
          <w:sz w:val="32"/>
          <w:szCs w:val="32"/>
          <w:u w:val="none" w:color="auto"/>
          <w:shd w:val="clear" w:color="auto" w:fill="auto"/>
        </w:rPr>
        <w:t>出了顶层设计。</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仿宋" w:hAnsi="仿宋" w:eastAsia="仿宋" w:cs="仿宋"/>
          <w:color w:val="000000"/>
          <w:spacing w:val="0"/>
          <w:sz w:val="32"/>
          <w:szCs w:val="32"/>
          <w:u w:val="none" w:color="auto"/>
          <w:shd w:val="clear" w:color="auto" w:fill="auto"/>
        </w:rPr>
        <w:t>当今世界正经历百年未有之大变局，不稳定性不确定性明显增加。我国进入高质量发展阶段，经济稳中向好、长期向好的基本趋势没有变。我国有望迈进高收入国家行列，民政事业发展的经济基础将进一步巩固。人工智能、生命健康等前沿科技，新一代信息技术、大数据等创新应用，正在催生民政领域一系列新技术、新产品、新业态、新模式，为基本民生保障对象主动发现和精准识别、基层社会治理数字化和智慧化、基本社会服务供给和需求适配，提供了新的支撑和有效路径。</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仿宋" w:hAnsi="仿宋" w:eastAsia="仿宋" w:cs="仿宋"/>
          <w:color w:val="000000"/>
          <w:spacing w:val="0"/>
          <w:sz w:val="32"/>
          <w:szCs w:val="32"/>
          <w:u w:val="none" w:color="auto"/>
          <w:shd w:val="clear" w:color="auto" w:fill="auto"/>
        </w:rPr>
        <w:t>随着一系列重大国家战略的深入实施，我区拥有多重叠加的发展机遇，具备</w:t>
      </w:r>
      <w:r>
        <w:rPr>
          <w:rFonts w:hint="eastAsia" w:ascii="仿宋" w:hAnsi="仿宋" w:eastAsia="仿宋" w:cs="仿宋"/>
          <w:color w:val="000000"/>
          <w:spacing w:val="0"/>
          <w:sz w:val="32"/>
          <w:szCs w:val="32"/>
          <w:u w:val="none" w:color="auto"/>
          <w:shd w:val="clear" w:color="auto" w:fill="auto"/>
          <w:lang w:eastAsia="zh-CN"/>
        </w:rPr>
        <w:t>一系列</w:t>
      </w:r>
      <w:r>
        <w:rPr>
          <w:rFonts w:hint="eastAsia" w:ascii="仿宋" w:hAnsi="仿宋" w:eastAsia="仿宋" w:cs="仿宋"/>
          <w:color w:val="000000"/>
          <w:spacing w:val="0"/>
          <w:sz w:val="32"/>
          <w:szCs w:val="32"/>
          <w:u w:val="none" w:color="auto"/>
          <w:shd w:val="clear" w:color="auto" w:fill="auto"/>
        </w:rPr>
        <w:t>有利条件，特别是服务融入新发展格局，京蒙东西部</w:t>
      </w:r>
      <w:r>
        <w:rPr>
          <w:rFonts w:hint="eastAsia" w:ascii="仿宋" w:hAnsi="仿宋" w:eastAsia="仿宋" w:cs="仿宋"/>
          <w:color w:val="000000"/>
          <w:spacing w:val="0"/>
          <w:sz w:val="32"/>
          <w:szCs w:val="32"/>
          <w:u w:val="none" w:color="auto"/>
          <w:shd w:val="clear" w:color="auto" w:fill="auto"/>
          <w:lang w:eastAsia="zh-CN"/>
        </w:rPr>
        <w:t>协作</w:t>
      </w:r>
      <w:r>
        <w:rPr>
          <w:rFonts w:hint="eastAsia" w:ascii="仿宋" w:hAnsi="仿宋" w:eastAsia="仿宋" w:cs="仿宋"/>
          <w:color w:val="000000"/>
          <w:spacing w:val="0"/>
          <w:sz w:val="32"/>
          <w:szCs w:val="32"/>
          <w:u w:val="none" w:color="auto"/>
          <w:shd w:val="clear" w:color="auto" w:fill="auto"/>
        </w:rPr>
        <w:t>协议、沪蒙深化战略合作框架协议的签署必将带动两地养老服务、儿童福利、社会组织等领域深层次合作与发展，高品质多样化的民生需求对内需体系的支撑作用更加显著，保障和改善基本民生、推进基本社会服务均等普惠、加强和创新社会治理有利于培育形成新的增长点，促进民政事业同经济发展有效衔接、良性循环。</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16" w:firstLineChars="200"/>
        <w:textAlignment w:val="auto"/>
        <w:rPr>
          <w:rFonts w:ascii="仿宋" w:hAnsi="仿宋" w:eastAsia="仿宋" w:cs="仿宋"/>
          <w:color w:val="000000"/>
          <w:spacing w:val="-6"/>
          <w:sz w:val="32"/>
          <w:szCs w:val="32"/>
          <w:u w:val="none" w:color="auto"/>
          <w:shd w:val="clear" w:color="auto" w:fill="auto"/>
        </w:rPr>
      </w:pPr>
      <w:r>
        <w:rPr>
          <w:rFonts w:hint="eastAsia" w:ascii="仿宋" w:hAnsi="仿宋" w:eastAsia="仿宋" w:cs="仿宋"/>
          <w:color w:val="000000"/>
          <w:spacing w:val="-6"/>
          <w:sz w:val="32"/>
          <w:szCs w:val="32"/>
          <w:u w:val="none" w:color="auto"/>
          <w:shd w:val="clear" w:color="auto" w:fill="auto"/>
        </w:rPr>
        <w:t>同时也要看到，我区综合发展水平还不适应新发展阶段要求，公共服务欠账多，民生保障存在短板，社会治理还有弱项，营商环境亟待改善，深层次的情况问题和结构性矛盾尚未解决，农村基本民生保障的兜底压力趋缓，但探索相对贫困治理的长效机制成为新的课题。城镇化的加速推进客观上会增加城镇地区的民政对象，新市民融入社区成为更加现实的基层治理问题。中心城市和城市群作为要素聚集的重要空间载体，需要审慎稳妥优化行政区划设置。人口老龄化速度加快，老年人口，特别是高龄人口、失能或部分失能人口快速增加，对公共服务供给能力和水平提出了更高要求。面对复杂多变的国际国内形势和人民群众不断增长的物质文化需求，基层社会治理任务</w:t>
      </w:r>
      <w:r>
        <w:rPr>
          <w:rFonts w:hint="eastAsia" w:ascii="仿宋" w:hAnsi="仿宋" w:eastAsia="仿宋" w:cs="仿宋"/>
          <w:color w:val="000000"/>
          <w:spacing w:val="-6"/>
          <w:sz w:val="32"/>
          <w:szCs w:val="32"/>
          <w:u w:val="none" w:color="auto"/>
          <w:shd w:val="clear" w:color="auto" w:fill="auto"/>
          <w:lang w:eastAsia="zh-CN"/>
        </w:rPr>
        <w:t>更</w:t>
      </w:r>
      <w:r>
        <w:rPr>
          <w:rFonts w:hint="eastAsia" w:ascii="仿宋" w:hAnsi="仿宋" w:eastAsia="仿宋" w:cs="仿宋"/>
          <w:color w:val="000000"/>
          <w:spacing w:val="-6"/>
          <w:sz w:val="32"/>
          <w:szCs w:val="32"/>
          <w:u w:val="none" w:color="auto"/>
          <w:shd w:val="clear" w:color="auto" w:fill="auto"/>
        </w:rPr>
        <w:t>加复杂，民政基本社会服务任务</w:t>
      </w:r>
      <w:r>
        <w:rPr>
          <w:rFonts w:hint="eastAsia" w:ascii="仿宋" w:hAnsi="仿宋" w:eastAsia="仿宋" w:cs="仿宋"/>
          <w:color w:val="000000"/>
          <w:spacing w:val="-6"/>
          <w:sz w:val="32"/>
          <w:szCs w:val="32"/>
          <w:u w:val="none" w:color="auto"/>
          <w:shd w:val="clear" w:color="auto" w:fill="auto"/>
          <w:lang w:eastAsia="zh-CN"/>
        </w:rPr>
        <w:t>更加</w:t>
      </w:r>
      <w:r>
        <w:rPr>
          <w:rFonts w:hint="eastAsia" w:ascii="仿宋" w:hAnsi="仿宋" w:eastAsia="仿宋" w:cs="仿宋"/>
          <w:color w:val="000000"/>
          <w:spacing w:val="-6"/>
          <w:sz w:val="32"/>
          <w:szCs w:val="32"/>
          <w:u w:val="none" w:color="auto"/>
          <w:shd w:val="clear" w:color="auto" w:fill="auto"/>
        </w:rPr>
        <w:t>艰巨。对此，必须牢牢把握进入新发展阶段、贯彻新发展理念、构建新发展格局的要求，深刻认识社会主要矛盾变化带来的新特征新要求，坚决贯彻党中央、国务院决策部署和自治区党委、政府工作要求，坚持以人民为中心的发展思想，抓住机遇，应对挑战，在服务党和国家工作大局中推动民政事业高质量发展。</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beforeAutospacing="0" w:after="313" w:afterLines="100" w:line="580" w:lineRule="exact"/>
        <w:ind w:left="0" w:leftChars="0" w:firstLine="0" w:firstLineChars="0"/>
        <w:jc w:val="center"/>
        <w:textAlignment w:val="auto"/>
        <w:outlineLvl w:val="1"/>
        <w:rPr>
          <w:rFonts w:hint="eastAsia" w:ascii="楷体" w:hAnsi="楷体" w:eastAsia="楷体" w:cs="楷体"/>
          <w:bCs/>
          <w:color w:val="000000"/>
          <w:spacing w:val="0"/>
          <w:sz w:val="32"/>
          <w:szCs w:val="32"/>
          <w:u w:val="none" w:color="auto"/>
          <w:shd w:val="clear" w:color="auto" w:fill="auto"/>
        </w:rPr>
      </w:pPr>
      <w:bookmarkStart w:id="13" w:name="_Toc517"/>
      <w:bookmarkStart w:id="14" w:name="_Toc18321"/>
      <w:r>
        <w:rPr>
          <w:rFonts w:hint="eastAsia" w:ascii="楷体" w:hAnsi="楷体" w:eastAsia="楷体" w:cs="楷体"/>
          <w:bCs/>
          <w:color w:val="000000"/>
          <w:spacing w:val="0"/>
          <w:sz w:val="32"/>
          <w:szCs w:val="32"/>
          <w:u w:val="none" w:color="auto"/>
          <w:shd w:val="clear" w:color="auto" w:fill="auto"/>
          <w:lang w:val="en-US" w:eastAsia="zh-CN"/>
        </w:rPr>
        <w:t xml:space="preserve"> </w:t>
      </w:r>
      <w:r>
        <w:rPr>
          <w:rFonts w:hint="eastAsia" w:ascii="楷体" w:hAnsi="楷体" w:eastAsia="楷体" w:cs="楷体"/>
          <w:bCs/>
          <w:color w:val="000000"/>
          <w:spacing w:val="0"/>
          <w:sz w:val="32"/>
          <w:szCs w:val="32"/>
          <w:u w:val="none" w:color="auto"/>
          <w:shd w:val="clear" w:color="auto" w:fill="auto"/>
        </w:rPr>
        <w:t>指导思想和基本原则</w:t>
      </w:r>
      <w:bookmarkEnd w:id="13"/>
      <w:bookmarkEnd w:id="14"/>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580" w:lineRule="exact"/>
        <w:ind w:left="0" w:firstLine="640" w:firstLineChars="200"/>
        <w:textAlignment w:val="auto"/>
        <w:rPr>
          <w:rFonts w:hint="eastAsia" w:ascii="仿宋" w:hAnsi="Calibri" w:eastAsia="仿宋" w:cs="仿宋"/>
          <w:bCs w:val="0"/>
          <w:color w:val="000000"/>
          <w:spacing w:val="0"/>
          <w:sz w:val="32"/>
          <w:szCs w:val="32"/>
          <w:u w:val="none" w:color="auto"/>
          <w:shd w:val="clear" w:color="auto" w:fill="auto"/>
          <w:lang w:val="en-US" w:eastAsia="zh-CN"/>
        </w:rPr>
      </w:pPr>
      <w:r>
        <w:rPr>
          <w:rFonts w:hint="eastAsia" w:cs="仿宋"/>
          <w:bCs w:val="0"/>
          <w:color w:val="000000"/>
          <w:spacing w:val="0"/>
          <w:sz w:val="32"/>
          <w:szCs w:val="32"/>
          <w:u w:val="none" w:color="auto"/>
          <w:shd w:val="clear" w:color="auto" w:fill="auto"/>
          <w:lang w:val="en-US" w:eastAsia="zh-CN"/>
        </w:rPr>
        <w:t>（一）</w:t>
      </w:r>
      <w:r>
        <w:rPr>
          <w:rFonts w:hint="eastAsia" w:ascii="仿宋" w:hAnsi="Calibri" w:eastAsia="仿宋" w:cs="仿宋"/>
          <w:bCs w:val="0"/>
          <w:color w:val="000000"/>
          <w:spacing w:val="0"/>
          <w:sz w:val="32"/>
          <w:szCs w:val="32"/>
          <w:u w:val="none" w:color="auto"/>
          <w:shd w:val="clear" w:color="auto" w:fill="auto"/>
          <w:lang w:val="en-US" w:eastAsia="zh-CN"/>
        </w:rPr>
        <w:t>指导思想。</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line="580" w:lineRule="exact"/>
        <w:ind w:left="0" w:firstLine="0" w:firstLineChars="0"/>
        <w:textAlignment w:val="auto"/>
        <w:rPr>
          <w:rFonts w:cs="仿宋"/>
          <w:color w:val="000000"/>
          <w:spacing w:val="0"/>
          <w:u w:val="none" w:color="auto"/>
          <w:shd w:val="clear" w:color="auto" w:fill="auto"/>
        </w:rPr>
      </w:pPr>
      <w:r>
        <w:rPr>
          <w:rFonts w:hint="eastAsia" w:ascii="楷体" w:hAnsi="楷体" w:eastAsia="楷体" w:cs="楷体"/>
          <w:bCs/>
          <w:color w:val="000000"/>
          <w:spacing w:val="0"/>
          <w:sz w:val="32"/>
          <w:szCs w:val="32"/>
          <w:u w:val="none" w:color="auto"/>
          <w:shd w:val="clear" w:color="auto" w:fill="auto"/>
          <w:lang w:val="en-US" w:eastAsia="zh-CN"/>
        </w:rPr>
        <w:t xml:space="preserve">    </w:t>
      </w:r>
      <w:r>
        <w:rPr>
          <w:rFonts w:hint="eastAsia" w:cs="仿宋"/>
          <w:color w:val="000000"/>
          <w:spacing w:val="0"/>
          <w:u w:val="none" w:color="auto"/>
          <w:shd w:val="clear" w:color="auto" w:fill="auto"/>
        </w:rPr>
        <w:t>“十四五”时期，</w:t>
      </w:r>
      <w:r>
        <w:rPr>
          <w:rFonts w:hint="eastAsia" w:cs="仿宋"/>
          <w:color w:val="000000"/>
          <w:spacing w:val="-6"/>
          <w:u w:val="none" w:color="auto"/>
          <w:shd w:val="clear" w:color="auto" w:fill="auto"/>
        </w:rPr>
        <w:t>全区民政工作的指导思想是：坚持以习近平</w:t>
      </w:r>
      <w:r>
        <w:rPr>
          <w:rFonts w:hint="eastAsia" w:cs="仿宋"/>
          <w:color w:val="000000"/>
          <w:spacing w:val="0"/>
          <w:u w:val="none" w:color="auto"/>
          <w:shd w:val="clear" w:color="auto" w:fill="auto"/>
        </w:rPr>
        <w:t>新时代中国特色社会主义思想为指导，深入贯彻党的十九大和十九届二中、三中、四中、五中全会精神，全面贯彻党的基本理论、基本路线、基本方略，深入贯彻落实习近平总书记</w:t>
      </w:r>
      <w:r>
        <w:rPr>
          <w:rFonts w:hint="eastAsia" w:cs="仿宋"/>
          <w:color w:val="000000"/>
          <w:spacing w:val="0"/>
          <w:u w:val="none" w:color="auto"/>
          <w:shd w:val="clear" w:color="auto" w:fill="auto"/>
          <w:lang w:eastAsia="zh-CN"/>
        </w:rPr>
        <w:t>对</w:t>
      </w:r>
      <w:r>
        <w:rPr>
          <w:rFonts w:hint="eastAsia" w:cs="仿宋"/>
          <w:color w:val="000000"/>
          <w:spacing w:val="0"/>
          <w:u w:val="none" w:color="auto"/>
          <w:shd w:val="clear" w:color="auto" w:fill="auto"/>
        </w:rPr>
        <w:t>内蒙古重要讲话重要指示批示和对民政工作重要指示精神，统筹推进“五位一体”总体布局，协调推进“四个全面”战略布局，科学把握新发展阶段，坚决贯彻新发展理念，深刻融入新发展格局，坚持稳中求进工作总基调，紧扣自治区走以生态优先、绿色发展为导向的高质量发展新路子，牢牢立足“两个屏障”、“两个基地”和“一个桥头堡”战略定位，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统筹发展和安全，为建设亮丽内蒙古、共圆伟大中国梦作出新的贡献。</w:t>
      </w:r>
    </w:p>
    <w:p>
      <w:pPr>
        <w:keepNext w:val="0"/>
        <w:keepLines w:val="0"/>
        <w:pageBreakBefore w:val="0"/>
        <w:widowControl w:val="0"/>
        <w:kinsoku/>
        <w:wordWrap/>
        <w:overflowPunct/>
        <w:topLinePunct/>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仿宋" w:hAnsi="仿宋" w:eastAsia="仿宋" w:cs="仿宋"/>
          <w:color w:val="000000"/>
          <w:spacing w:val="0"/>
          <w:sz w:val="32"/>
          <w:szCs w:val="32"/>
          <w:u w:val="none" w:color="auto"/>
          <w:shd w:val="clear" w:color="auto" w:fill="auto"/>
          <w:lang w:eastAsia="zh-CN"/>
        </w:rPr>
        <w:t>（二）基本</w:t>
      </w:r>
      <w:r>
        <w:rPr>
          <w:rFonts w:hint="eastAsia" w:ascii="仿宋" w:hAnsi="仿宋" w:eastAsia="仿宋" w:cs="仿宋"/>
          <w:color w:val="000000"/>
          <w:spacing w:val="0"/>
          <w:sz w:val="32"/>
          <w:szCs w:val="32"/>
          <w:u w:val="none" w:color="auto"/>
          <w:shd w:val="clear" w:color="auto" w:fill="auto"/>
        </w:rPr>
        <w:t>原则</w:t>
      </w:r>
      <w:r>
        <w:rPr>
          <w:rFonts w:hint="eastAsia" w:ascii="仿宋" w:hAnsi="仿宋" w:eastAsia="仿宋" w:cs="仿宋"/>
          <w:color w:val="000000"/>
          <w:spacing w:val="0"/>
          <w:sz w:val="32"/>
          <w:szCs w:val="32"/>
          <w:u w:val="none" w:color="auto"/>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Calibri" w:eastAsia="仿宋" w:cs="仿宋"/>
          <w:b w:val="0"/>
          <w:color w:val="000000"/>
          <w:spacing w:val="0"/>
          <w:sz w:val="32"/>
          <w:szCs w:val="32"/>
          <w:u w:val="none" w:color="auto"/>
          <w:shd w:val="clear" w:color="auto" w:fill="auto"/>
          <w:lang w:bidi="ar-SA"/>
        </w:rPr>
        <w:t>坚持党的全面领导</w:t>
      </w:r>
      <w:r>
        <w:rPr>
          <w:rFonts w:hint="eastAsia" w:ascii="仿宋" w:hAnsi="Calibri" w:eastAsia="仿宋" w:cs="仿宋"/>
          <w:color w:val="000000"/>
          <w:spacing w:val="0"/>
          <w:sz w:val="32"/>
          <w:szCs w:val="32"/>
          <w:u w:val="none" w:color="auto"/>
          <w:shd w:val="clear" w:color="auto" w:fill="auto"/>
          <w:lang w:bidi="ar-SA"/>
        </w:rPr>
        <w:t>。坚持以习近平新时代中国特色社会主义思想为指导，</w:t>
      </w:r>
      <w:r>
        <w:rPr>
          <w:rFonts w:hint="eastAsia" w:ascii="仿宋" w:hAnsi="Calibri" w:eastAsia="仿宋" w:cs="仿宋"/>
          <w:color w:val="000000"/>
          <w:spacing w:val="0"/>
          <w:sz w:val="32"/>
          <w:szCs w:val="32"/>
          <w:u w:val="none" w:color="auto"/>
          <w:shd w:val="clear" w:color="auto" w:fill="auto"/>
          <w:lang w:eastAsia="zh-CN" w:bidi="ar-SA"/>
        </w:rPr>
        <w:t>全面贯彻</w:t>
      </w:r>
      <w:r>
        <w:rPr>
          <w:rFonts w:hint="eastAsia" w:ascii="仿宋" w:hAnsi="Calibri" w:eastAsia="仿宋" w:cs="仿宋"/>
          <w:color w:val="000000"/>
          <w:spacing w:val="0"/>
          <w:sz w:val="32"/>
          <w:szCs w:val="32"/>
          <w:u w:val="none" w:color="auto"/>
          <w:shd w:val="clear" w:color="auto" w:fill="auto"/>
          <w:lang w:bidi="ar-SA"/>
        </w:rPr>
        <w:t>习近平总书记</w:t>
      </w:r>
      <w:r>
        <w:rPr>
          <w:rFonts w:hint="eastAsia" w:ascii="仿宋" w:hAnsi="Calibri" w:eastAsia="仿宋" w:cs="仿宋"/>
          <w:color w:val="000000"/>
          <w:spacing w:val="0"/>
          <w:sz w:val="32"/>
          <w:szCs w:val="32"/>
          <w:u w:val="none" w:color="auto"/>
          <w:shd w:val="clear" w:color="auto" w:fill="auto"/>
          <w:lang w:eastAsia="zh-CN" w:bidi="ar-SA"/>
        </w:rPr>
        <w:t>对</w:t>
      </w:r>
      <w:r>
        <w:rPr>
          <w:rFonts w:hint="eastAsia" w:ascii="仿宋" w:hAnsi="Calibri" w:eastAsia="仿宋" w:cs="仿宋"/>
          <w:color w:val="000000"/>
          <w:spacing w:val="0"/>
          <w:sz w:val="32"/>
          <w:szCs w:val="32"/>
          <w:u w:val="none" w:color="auto"/>
          <w:shd w:val="clear" w:color="auto" w:fill="auto"/>
          <w:lang w:bidi="ar-SA"/>
        </w:rPr>
        <w:t>内蒙古重要讲话重要指示批示和对民政工作重要指示精神，完整准确全面贯彻新发展理念，提高服务融入新发展格局的</w:t>
      </w:r>
      <w:r>
        <w:rPr>
          <w:rFonts w:hint="eastAsia" w:ascii="仿宋" w:hAnsi="仿宋" w:eastAsia="仿宋" w:cs="仿宋"/>
          <w:color w:val="000000"/>
          <w:spacing w:val="0"/>
          <w:sz w:val="32"/>
          <w:szCs w:val="32"/>
          <w:u w:val="none" w:color="auto"/>
          <w:shd w:val="clear" w:color="auto" w:fill="auto"/>
        </w:rPr>
        <w:t>能力和水平，不断提高政治判断力、政治领悟力、政治执行力</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把党的意志体现到民政事业发展的全过程各方面，为实现高质量发展提供坚强保证。</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Calibri" w:eastAsia="仿宋" w:cs="仿宋"/>
          <w:b w:val="0"/>
          <w:color w:val="000000"/>
          <w:spacing w:val="0"/>
          <w:sz w:val="32"/>
          <w:szCs w:val="32"/>
          <w:u w:val="none" w:color="auto"/>
          <w:shd w:val="clear" w:color="auto" w:fill="auto"/>
          <w:lang w:bidi="ar-SA"/>
        </w:rPr>
        <w:t>坚持以人民为中心</w:t>
      </w:r>
      <w:r>
        <w:rPr>
          <w:rFonts w:hint="eastAsia" w:ascii="仿宋" w:hAnsi="Calibri" w:eastAsia="仿宋" w:cs="仿宋"/>
          <w:color w:val="000000"/>
          <w:spacing w:val="0"/>
          <w:sz w:val="32"/>
          <w:szCs w:val="32"/>
          <w:u w:val="none" w:color="auto"/>
          <w:shd w:val="clear" w:color="auto" w:fill="auto"/>
          <w:lang w:bidi="ar-SA"/>
        </w:rPr>
        <w:t>。坚持以人</w:t>
      </w:r>
      <w:r>
        <w:rPr>
          <w:rFonts w:hint="eastAsia" w:ascii="仿宋" w:hAnsi="仿宋" w:eastAsia="仿宋" w:cs="仿宋"/>
          <w:color w:val="000000"/>
          <w:spacing w:val="0"/>
          <w:sz w:val="32"/>
          <w:szCs w:val="32"/>
          <w:u w:val="none" w:color="auto"/>
          <w:shd w:val="clear" w:color="auto" w:fill="auto"/>
        </w:rPr>
        <w:t>民为中心的发展思想，坚持人民主体地位，坚持“民政爱民、民政为民”工作理念，把解决人民群众最关心、最直接、最现实的利益问题作为推动民政事业发展的出发点和落脚点，更好履行民政工作在基本民生保障、基层社会治理、基本社会服务等方面的职责，不断增强人民群众的获得感、幸福感、安全感。</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hint="eastAsia" w:ascii="仿宋" w:hAnsi="Calibri" w:eastAsia="仿宋" w:cs="仿宋"/>
          <w:color w:val="000000"/>
          <w:spacing w:val="0"/>
          <w:sz w:val="32"/>
          <w:szCs w:val="32"/>
          <w:u w:val="none" w:color="auto"/>
          <w:shd w:val="clear" w:color="auto" w:fill="auto"/>
          <w:lang w:bidi="ar-SA"/>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Calibri" w:eastAsia="仿宋" w:cs="仿宋"/>
          <w:b w:val="0"/>
          <w:color w:val="000000"/>
          <w:spacing w:val="0"/>
          <w:sz w:val="32"/>
          <w:szCs w:val="32"/>
          <w:u w:val="none" w:color="auto"/>
          <w:shd w:val="clear" w:color="auto" w:fill="auto"/>
          <w:lang w:bidi="ar-SA"/>
        </w:rPr>
        <w:t>坚持服务中心工作</w:t>
      </w:r>
      <w:r>
        <w:rPr>
          <w:rFonts w:hint="eastAsia" w:ascii="仿宋" w:hAnsi="Calibri" w:eastAsia="仿宋" w:cs="仿宋"/>
          <w:color w:val="000000"/>
          <w:spacing w:val="0"/>
          <w:sz w:val="32"/>
          <w:szCs w:val="32"/>
          <w:u w:val="none" w:color="auto"/>
          <w:shd w:val="clear" w:color="auto" w:fill="auto"/>
          <w:lang w:bidi="ar-SA"/>
        </w:rPr>
        <w:t>。围绕自治区经济社会发展和稳定大局，深刻认识民政工作面临的机遇和挑战，把握新发展阶段、新发展理念、新发展格局的战略要求，充分发挥民政在服务保障社会建设中的兜底性、基础性作用。</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hint="eastAsia" w:ascii="仿宋" w:hAnsi="Calibri" w:eastAsia="仿宋" w:cs="仿宋"/>
          <w:color w:val="000000"/>
          <w:spacing w:val="0"/>
          <w:sz w:val="32"/>
          <w:szCs w:val="32"/>
          <w:u w:val="none" w:color="auto"/>
          <w:shd w:val="clear" w:color="auto" w:fill="auto"/>
          <w:lang w:bidi="ar-SA"/>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Calibri" w:eastAsia="仿宋" w:cs="仿宋"/>
          <w:b w:val="0"/>
          <w:color w:val="000000"/>
          <w:spacing w:val="0"/>
          <w:sz w:val="32"/>
          <w:szCs w:val="32"/>
          <w:u w:val="none" w:color="auto"/>
          <w:shd w:val="clear" w:color="auto" w:fill="auto"/>
          <w:lang w:bidi="ar-SA"/>
        </w:rPr>
        <w:t>坚持共建共治共享</w:t>
      </w:r>
      <w:r>
        <w:rPr>
          <w:rFonts w:hint="eastAsia" w:ascii="仿宋" w:hAnsi="Calibri" w:eastAsia="仿宋" w:cs="仿宋"/>
          <w:color w:val="000000"/>
          <w:spacing w:val="0"/>
          <w:sz w:val="32"/>
          <w:szCs w:val="32"/>
          <w:u w:val="none" w:color="auto"/>
          <w:shd w:val="clear" w:color="auto" w:fill="auto"/>
          <w:lang w:bidi="ar-SA"/>
        </w:rPr>
        <w:t>。充分调动广大社会组织、社会工作者、志愿者和慈善组织等社会力量，统筹利用各类资源，加大向基层放权力度，向基层队伍赋能、向参与主体赋能、向服务对象赋能，促进广泛参与、各负其责、互为补充、同频共振。</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hint="eastAsia" w:ascii="仿宋" w:hAnsi="Calibri" w:eastAsia="仿宋" w:cs="仿宋"/>
          <w:color w:val="000000"/>
          <w:spacing w:val="0"/>
          <w:sz w:val="32"/>
          <w:szCs w:val="32"/>
          <w:u w:val="none" w:color="auto"/>
          <w:shd w:val="clear" w:color="auto" w:fill="auto"/>
          <w:lang w:bidi="ar-SA"/>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Calibri" w:eastAsia="仿宋" w:cs="仿宋"/>
          <w:b w:val="0"/>
          <w:color w:val="000000"/>
          <w:spacing w:val="0"/>
          <w:sz w:val="32"/>
          <w:szCs w:val="32"/>
          <w:u w:val="none" w:color="auto"/>
          <w:shd w:val="clear" w:color="auto" w:fill="auto"/>
          <w:lang w:bidi="ar-SA"/>
        </w:rPr>
        <w:t>坚持深化改革创新。</w:t>
      </w:r>
      <w:r>
        <w:rPr>
          <w:rFonts w:hint="eastAsia" w:ascii="仿宋" w:hAnsi="Calibri" w:eastAsia="仿宋" w:cs="仿宋"/>
          <w:color w:val="000000"/>
          <w:spacing w:val="0"/>
          <w:sz w:val="32"/>
          <w:szCs w:val="32"/>
          <w:u w:val="none" w:color="auto"/>
          <w:shd w:val="clear" w:color="auto" w:fill="auto"/>
          <w:lang w:bidi="ar-SA"/>
        </w:rPr>
        <w:t>用改革的办法和开放的视野补短板、强弱项、破壁垒，聚焦重点领域和关键环节，全面深化社会救助、基层治理、残疾人福利、儿童福利、养老服务、殡葬等改革，鼓励基层开拓创新，探索开展原创性、差异化改革，不断为民政事业发展探索新方式、注入新动能。</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snapToGrid w:val="0"/>
          <w:color w:val="000000"/>
          <w:spacing w:val="6"/>
          <w:sz w:val="32"/>
          <w:szCs w:val="32"/>
          <w:u w:val="none" w:color="auto"/>
          <w:shd w:val="clear" w:color="auto" w:fill="auto"/>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Calibri" w:eastAsia="仿宋" w:cs="仿宋"/>
          <w:b w:val="0"/>
          <w:color w:val="000000"/>
          <w:spacing w:val="0"/>
          <w:sz w:val="32"/>
          <w:szCs w:val="32"/>
          <w:u w:val="none" w:color="auto"/>
          <w:shd w:val="clear" w:color="auto" w:fill="auto"/>
          <w:lang w:bidi="ar-SA"/>
        </w:rPr>
        <w:t>坚持系统观念。</w:t>
      </w:r>
      <w:r>
        <w:rPr>
          <w:rFonts w:hint="eastAsia" w:ascii="仿宋" w:hAnsi="Calibri" w:eastAsia="仿宋" w:cs="仿宋"/>
          <w:color w:val="000000"/>
          <w:spacing w:val="0"/>
          <w:sz w:val="32"/>
          <w:szCs w:val="32"/>
          <w:u w:val="none" w:color="auto"/>
          <w:shd w:val="clear" w:color="auto" w:fill="auto"/>
          <w:lang w:bidi="ar-SA"/>
        </w:rPr>
        <w:t>以全局站位和长远眼光推动民政工作融入区域协调发展、创新驱动发展、乡村振兴、新型城镇化、可持</w:t>
      </w:r>
      <w:r>
        <w:rPr>
          <w:rFonts w:hint="eastAsia" w:ascii="仿宋" w:hAnsi="Calibri" w:eastAsia="仿宋" w:cs="仿宋"/>
          <w:color w:val="000000"/>
          <w:spacing w:val="6"/>
          <w:sz w:val="32"/>
          <w:szCs w:val="32"/>
          <w:u w:val="none" w:color="auto"/>
          <w:shd w:val="clear" w:color="auto" w:fill="auto"/>
          <w:lang w:bidi="ar-SA"/>
        </w:rPr>
        <w:t>续发展等国家重大战略，</w:t>
      </w:r>
      <w:r>
        <w:rPr>
          <w:rFonts w:hint="eastAsia" w:ascii="仿宋" w:hAnsi="仿宋" w:eastAsia="仿宋" w:cs="仿宋"/>
          <w:color w:val="000000"/>
          <w:spacing w:val="6"/>
          <w:sz w:val="32"/>
          <w:szCs w:val="32"/>
          <w:u w:val="none" w:color="auto"/>
          <w:shd w:val="clear" w:color="auto" w:fill="auto"/>
        </w:rPr>
        <w:t>坚持民政事业城乡统筹、区域协调、整</w:t>
      </w:r>
      <w:r>
        <w:rPr>
          <w:rFonts w:hint="eastAsia" w:ascii="仿宋" w:hAnsi="仿宋" w:eastAsia="仿宋" w:cs="仿宋"/>
          <w:snapToGrid w:val="0"/>
          <w:color w:val="000000"/>
          <w:spacing w:val="6"/>
          <w:sz w:val="32"/>
          <w:szCs w:val="32"/>
          <w:u w:val="none" w:color="auto"/>
          <w:shd w:val="clear" w:color="auto" w:fill="auto"/>
        </w:rPr>
        <w:t>体推进，加强跨业务、全系统、多部门协同，更加注重防范化解民政领域重大风险，尽力而为、量力而行，推动民政事业行稳致远。</w:t>
      </w:r>
    </w:p>
    <w:p>
      <w:pPr>
        <w:keepNext w:val="0"/>
        <w:keepLines w:val="0"/>
        <w:pageBreakBefore w:val="0"/>
        <w:widowControl w:val="0"/>
        <w:kinsoku/>
        <w:wordWrap/>
        <w:overflowPunct/>
        <w:topLinePunct w:val="0"/>
        <w:autoSpaceDE/>
        <w:autoSpaceDN/>
        <w:bidi w:val="0"/>
        <w:adjustRightInd/>
        <w:snapToGrid/>
        <w:spacing w:beforeAutospacing="0" w:line="580" w:lineRule="exact"/>
        <w:ind w:left="0"/>
        <w:jc w:val="center"/>
        <w:textAlignment w:val="auto"/>
        <w:outlineLvl w:val="1"/>
        <w:rPr>
          <w:rFonts w:hint="eastAsia" w:ascii="楷体" w:hAnsi="楷体" w:eastAsia="楷体" w:cs="楷体"/>
          <w:bCs/>
          <w:color w:val="000000"/>
          <w:spacing w:val="0"/>
          <w:sz w:val="32"/>
          <w:szCs w:val="32"/>
          <w:u w:val="none" w:color="auto"/>
          <w:shd w:val="clear" w:color="auto" w:fill="auto"/>
        </w:rPr>
      </w:pPr>
      <w:bookmarkStart w:id="15" w:name="_Toc12159"/>
      <w:bookmarkStart w:id="16" w:name="_Toc14105"/>
    </w:p>
    <w:p>
      <w:pPr>
        <w:keepNext w:val="0"/>
        <w:keepLines w:val="0"/>
        <w:pageBreakBefore w:val="0"/>
        <w:widowControl w:val="0"/>
        <w:numPr>
          <w:ilvl w:val="0"/>
          <w:numId w:val="2"/>
        </w:numPr>
        <w:kinsoku/>
        <w:wordWrap/>
        <w:overflowPunct/>
        <w:topLinePunct w:val="0"/>
        <w:autoSpaceDE/>
        <w:autoSpaceDN/>
        <w:bidi w:val="0"/>
        <w:adjustRightInd/>
        <w:snapToGrid/>
        <w:spacing w:beforeAutospacing="0" w:line="580" w:lineRule="exact"/>
        <w:ind w:left="0" w:leftChars="0" w:firstLine="0" w:firstLineChars="0"/>
        <w:jc w:val="center"/>
        <w:textAlignment w:val="auto"/>
        <w:outlineLvl w:val="1"/>
        <w:rPr>
          <w:rFonts w:hint="eastAsia" w:ascii="楷体" w:hAnsi="楷体" w:eastAsia="楷体" w:cs="楷体"/>
          <w:bCs/>
          <w:color w:val="000000"/>
          <w:spacing w:val="0"/>
          <w:sz w:val="32"/>
          <w:szCs w:val="32"/>
          <w:u w:val="none" w:color="auto"/>
          <w:shd w:val="clear" w:color="auto" w:fill="auto"/>
        </w:rPr>
      </w:pPr>
      <w:r>
        <w:rPr>
          <w:rFonts w:hint="eastAsia" w:ascii="楷体" w:hAnsi="楷体" w:eastAsia="楷体" w:cs="楷体"/>
          <w:bCs/>
          <w:color w:val="000000"/>
          <w:spacing w:val="0"/>
          <w:sz w:val="32"/>
          <w:szCs w:val="32"/>
          <w:u w:val="none" w:color="auto"/>
          <w:shd w:val="clear" w:color="auto" w:fill="auto"/>
        </w:rPr>
        <w:t xml:space="preserve"> 发展目标</w:t>
      </w:r>
      <w:bookmarkEnd w:id="15"/>
      <w:bookmarkEnd w:id="16"/>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80" w:lineRule="exact"/>
        <w:ind w:leftChars="0"/>
        <w:textAlignment w:val="auto"/>
      </w:pPr>
    </w:p>
    <w:p>
      <w:pPr>
        <w:keepNext w:val="0"/>
        <w:keepLines w:val="0"/>
        <w:pageBreakBefore w:val="0"/>
        <w:widowControl w:val="0"/>
        <w:kinsoku/>
        <w:wordWrap/>
        <w:overflowPunct/>
        <w:topLinePunct/>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仿宋" w:hAnsi="仿宋" w:eastAsia="仿宋" w:cs="仿宋"/>
          <w:b w:val="0"/>
          <w:bCs w:val="0"/>
          <w:color w:val="000000"/>
          <w:spacing w:val="0"/>
          <w:sz w:val="32"/>
          <w:szCs w:val="32"/>
          <w:u w:val="none" w:color="auto"/>
          <w:shd w:val="clear" w:color="auto" w:fill="auto"/>
          <w:lang w:eastAsia="zh-CN"/>
        </w:rPr>
        <w:t>（一）</w:t>
      </w:r>
      <w:r>
        <w:rPr>
          <w:rFonts w:hint="eastAsia" w:ascii="仿宋" w:hAnsi="仿宋" w:eastAsia="仿宋" w:cs="仿宋"/>
          <w:b w:val="0"/>
          <w:bCs w:val="0"/>
          <w:color w:val="000000"/>
          <w:spacing w:val="0"/>
          <w:sz w:val="32"/>
          <w:szCs w:val="32"/>
          <w:u w:val="none" w:color="auto"/>
          <w:shd w:val="clear" w:color="auto" w:fill="auto"/>
        </w:rPr>
        <w:t>2025年主要目标：</w:t>
      </w:r>
      <w:r>
        <w:rPr>
          <w:rFonts w:hint="eastAsia" w:ascii="仿宋" w:hAnsi="仿宋" w:eastAsia="仿宋" w:cs="仿宋"/>
          <w:color w:val="000000"/>
          <w:spacing w:val="0"/>
          <w:sz w:val="32"/>
          <w:szCs w:val="32"/>
          <w:u w:val="none" w:color="auto"/>
          <w:shd w:val="clear" w:color="auto" w:fill="auto"/>
        </w:rPr>
        <w:t>民政系统党的建设全面加强，制度体系进一步健全完善，基本民生保障、基层社会治理、基本社会服务水平显著提高，城乡区域发展差距明显缩小，民政事业取得明显进展。</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仿宋" w:eastAsia="仿宋" w:cs="仿宋"/>
          <w:b w:val="0"/>
          <w:bCs w:val="0"/>
          <w:color w:val="000000"/>
          <w:spacing w:val="0"/>
          <w:sz w:val="32"/>
          <w:szCs w:val="32"/>
          <w:u w:val="none" w:color="auto"/>
          <w:shd w:val="clear" w:color="auto" w:fill="auto"/>
        </w:rPr>
        <w:t>基本民生保障更加有力。</w:t>
      </w:r>
      <w:r>
        <w:rPr>
          <w:rFonts w:hint="eastAsia" w:ascii="仿宋" w:hAnsi="仿宋" w:eastAsia="仿宋" w:cs="仿宋"/>
          <w:color w:val="000000"/>
          <w:spacing w:val="0"/>
          <w:sz w:val="32"/>
          <w:szCs w:val="32"/>
          <w:u w:val="none" w:color="auto"/>
          <w:shd w:val="clear" w:color="auto" w:fill="auto"/>
        </w:rPr>
        <w:t>实现巩固拓展脱贫攻坚兜底保障成果同乡村振兴有效衔接。推进社会救助制度改革完善，建立健全分层分类的社会救助体系。儿童、残疾人等社会福利保障制度向适度普惠转型发展迈出新步伐。福利彩票筹集资金能力和水平进一步提升。</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仿宋" w:eastAsia="仿宋" w:cs="仿宋"/>
          <w:b w:val="0"/>
          <w:bCs w:val="0"/>
          <w:color w:val="000000"/>
          <w:spacing w:val="0"/>
          <w:sz w:val="32"/>
          <w:szCs w:val="32"/>
          <w:u w:val="none" w:color="auto"/>
          <w:shd w:val="clear" w:color="auto" w:fill="auto"/>
        </w:rPr>
        <w:t>基层社会治理更加有序。</w:t>
      </w:r>
      <w:r>
        <w:rPr>
          <w:rFonts w:hint="eastAsia" w:ascii="仿宋" w:hAnsi="仿宋" w:eastAsia="仿宋" w:cs="仿宋"/>
          <w:color w:val="000000"/>
          <w:spacing w:val="0"/>
          <w:sz w:val="32"/>
          <w:szCs w:val="32"/>
          <w:u w:val="none" w:color="auto"/>
          <w:shd w:val="clear" w:color="auto" w:fill="auto"/>
        </w:rPr>
        <w:t>体系完备、共治共享、和谐有序、群众满意的基层社会治理新格局基本建立。基层群众自治制度不断完善，城乡社区服务体系更加健全。社会组织在社会治理中的作用充分发挥。社会工作者、志愿者参与社会治理的途径进一步畅通和规范。慈善事业在第三次分配中的作用进一步凸显。行政区划在推进区域协调发展、新型城镇化建设中的功能进一步强化。</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0"/>
          <w:sz w:val="32"/>
          <w:szCs w:val="32"/>
          <w:u w:val="none" w:color="auto"/>
          <w:shd w:val="clear" w:color="auto" w:fill="auto"/>
        </w:rPr>
      </w:pPr>
      <w:r>
        <w:rPr>
          <w:rFonts w:hint="eastAsia" w:ascii="方正楷体_GBK" w:hAnsi="方正楷体_GBK" w:eastAsia="方正楷体_GBK" w:cs="方正楷体_GBK"/>
          <w:b w:val="0"/>
          <w:color w:val="000000"/>
          <w:spacing w:val="0"/>
          <w:sz w:val="32"/>
          <w:szCs w:val="32"/>
          <w:u w:val="none" w:color="auto"/>
          <w:shd w:val="clear" w:color="auto" w:fill="auto"/>
          <w:lang w:bidi="ar-SA"/>
        </w:rPr>
        <w:t>——</w:t>
      </w:r>
      <w:r>
        <w:rPr>
          <w:rFonts w:hint="eastAsia" w:ascii="仿宋" w:hAnsi="仿宋" w:eastAsia="仿宋" w:cs="仿宋"/>
          <w:b w:val="0"/>
          <w:bCs w:val="0"/>
          <w:color w:val="000000"/>
          <w:spacing w:val="0"/>
          <w:sz w:val="32"/>
          <w:szCs w:val="32"/>
          <w:u w:val="none" w:color="auto"/>
          <w:shd w:val="clear" w:color="auto" w:fill="auto"/>
        </w:rPr>
        <w:t>基本社会服务更加有效。</w:t>
      </w:r>
      <w:r>
        <w:rPr>
          <w:rFonts w:hint="eastAsia" w:ascii="仿宋" w:hAnsi="仿宋" w:eastAsia="仿宋" w:cs="仿宋"/>
          <w:color w:val="000000"/>
          <w:spacing w:val="0"/>
          <w:sz w:val="32"/>
          <w:szCs w:val="32"/>
          <w:u w:val="none" w:color="auto"/>
          <w:shd w:val="clear" w:color="auto" w:fill="auto"/>
        </w:rPr>
        <w:t>基本养老服务体系健全完善，居家社区机构相协调、医养康养相结合的养老服务体系全面构建，未成年人保护工作机制更加系统完备，地名、婚姻、殡葬等服务管理更加科学有效，普惠均等和智能精准程度同步提高</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群众获得感、幸福感、安全感全面增强。</w:t>
      </w:r>
    </w:p>
    <w:p>
      <w:pPr>
        <w:keepNext w:val="0"/>
        <w:keepLines w:val="0"/>
        <w:pageBreakBefore w:val="0"/>
        <w:widowControl w:val="0"/>
        <w:kinsoku/>
        <w:wordWrap/>
        <w:overflowPunct/>
        <w:topLinePunct w:val="0"/>
        <w:autoSpaceDE/>
        <w:autoSpaceDN/>
        <w:bidi w:val="0"/>
        <w:adjustRightInd/>
        <w:snapToGrid/>
        <w:spacing w:beforeAutospacing="0" w:line="580" w:lineRule="exact"/>
        <w:ind w:left="0"/>
        <w:jc w:val="center"/>
        <w:textAlignment w:val="auto"/>
        <w:rPr>
          <w:rFonts w:hint="eastAsia" w:ascii="黑体" w:hAnsi="黑体" w:eastAsia="黑体" w:cs="黑体"/>
          <w:b w:val="0"/>
          <w:bCs/>
          <w:color w:val="000000"/>
          <w:sz w:val="30"/>
          <w:szCs w:val="30"/>
          <w:u w:val="none" w:color="auto"/>
          <w:shd w:val="clear" w:color="auto" w:fill="auto"/>
        </w:rPr>
      </w:pPr>
      <w:r>
        <w:rPr>
          <w:rFonts w:hint="eastAsia" w:ascii="黑体" w:hAnsi="黑体" w:eastAsia="黑体" w:cs="黑体"/>
          <w:b w:val="0"/>
          <w:bCs/>
          <w:color w:val="000000"/>
          <w:sz w:val="30"/>
          <w:szCs w:val="30"/>
          <w:u w:val="none" w:color="auto"/>
          <w:shd w:val="clear" w:color="auto" w:fill="auto"/>
        </w:rPr>
        <w:t>“十四五”时期全区民政事业主要发展指标</w:t>
      </w:r>
    </w:p>
    <w:p>
      <w:pPr>
        <w:pStyle w:val="2"/>
        <w:keepNext w:val="0"/>
        <w:keepLines w:val="0"/>
        <w:pageBreakBefore w:val="0"/>
        <w:widowControl w:val="0"/>
        <w:kinsoku/>
        <w:wordWrap/>
        <w:overflowPunct/>
        <w:topLinePunct w:val="0"/>
        <w:autoSpaceDE/>
        <w:autoSpaceDN/>
        <w:bidi w:val="0"/>
        <w:adjustRightInd/>
        <w:snapToGrid/>
        <w:spacing w:before="0" w:beforeAutospacing="0" w:after="0" w:line="300" w:lineRule="exact"/>
        <w:textAlignment w:val="auto"/>
        <w:rPr>
          <w:rFonts w:hint="eastAsia"/>
        </w:rPr>
      </w:pPr>
    </w:p>
    <w:tbl>
      <w:tblPr>
        <w:tblStyle w:val="14"/>
        <w:tblW w:w="91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3336"/>
        <w:gridCol w:w="769"/>
        <w:gridCol w:w="1170"/>
        <w:gridCol w:w="2101"/>
        <w:gridCol w:w="1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77"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序号</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主</w:t>
            </w:r>
            <w:r>
              <w:rPr>
                <w:rFonts w:hint="eastAsia" w:ascii="方正黑体_GBK" w:hAnsi="方正黑体_GBK" w:eastAsia="方正黑体_GBK" w:cs="方正黑体_GBK"/>
                <w:b w:val="0"/>
                <w:bCs/>
                <w:color w:val="000000"/>
                <w:kern w:val="0"/>
                <w:sz w:val="24"/>
                <w:szCs w:val="24"/>
                <w:u w:val="none" w:color="auto"/>
                <w:shd w:val="clear" w:color="auto" w:fill="auto"/>
                <w:lang w:val="en-US" w:eastAsia="zh-CN"/>
              </w:rPr>
              <w:t xml:space="preserve"> </w:t>
            </w:r>
            <w:r>
              <w:rPr>
                <w:rFonts w:hint="eastAsia" w:ascii="方正黑体_GBK" w:hAnsi="方正黑体_GBK" w:eastAsia="方正黑体_GBK" w:cs="方正黑体_GBK"/>
                <w:b w:val="0"/>
                <w:bCs/>
                <w:color w:val="000000"/>
                <w:kern w:val="0"/>
                <w:sz w:val="24"/>
                <w:szCs w:val="24"/>
                <w:u w:val="none" w:color="auto"/>
                <w:shd w:val="clear" w:color="auto" w:fill="auto"/>
              </w:rPr>
              <w:t>要</w:t>
            </w:r>
            <w:r>
              <w:rPr>
                <w:rFonts w:hint="eastAsia" w:ascii="方正黑体_GBK" w:hAnsi="方正黑体_GBK" w:eastAsia="方正黑体_GBK" w:cs="方正黑体_GBK"/>
                <w:b w:val="0"/>
                <w:bCs/>
                <w:color w:val="000000"/>
                <w:kern w:val="0"/>
                <w:sz w:val="24"/>
                <w:szCs w:val="24"/>
                <w:u w:val="none" w:color="auto"/>
                <w:shd w:val="clear" w:color="auto" w:fill="auto"/>
                <w:lang w:val="en-US" w:eastAsia="zh-CN"/>
              </w:rPr>
              <w:t xml:space="preserve"> </w:t>
            </w:r>
            <w:r>
              <w:rPr>
                <w:rFonts w:hint="eastAsia" w:ascii="方正黑体_GBK" w:hAnsi="方正黑体_GBK" w:eastAsia="方正黑体_GBK" w:cs="方正黑体_GBK"/>
                <w:b w:val="0"/>
                <w:bCs/>
                <w:color w:val="000000"/>
                <w:kern w:val="0"/>
                <w:sz w:val="24"/>
                <w:szCs w:val="24"/>
                <w:u w:val="none" w:color="auto"/>
                <w:shd w:val="clear" w:color="auto" w:fill="auto"/>
              </w:rPr>
              <w:t>指</w:t>
            </w:r>
            <w:r>
              <w:rPr>
                <w:rFonts w:hint="eastAsia" w:ascii="方正黑体_GBK" w:hAnsi="方正黑体_GBK" w:eastAsia="方正黑体_GBK" w:cs="方正黑体_GBK"/>
                <w:b w:val="0"/>
                <w:bCs/>
                <w:color w:val="000000"/>
                <w:kern w:val="0"/>
                <w:sz w:val="24"/>
                <w:szCs w:val="24"/>
                <w:u w:val="none" w:color="auto"/>
                <w:shd w:val="clear" w:color="auto" w:fill="auto"/>
                <w:lang w:val="en-US" w:eastAsia="zh-CN"/>
              </w:rPr>
              <w:t xml:space="preserve"> </w:t>
            </w:r>
            <w:r>
              <w:rPr>
                <w:rFonts w:hint="eastAsia" w:ascii="方正黑体_GBK" w:hAnsi="方正黑体_GBK" w:eastAsia="方正黑体_GBK" w:cs="方正黑体_GBK"/>
                <w:b w:val="0"/>
                <w:bCs/>
                <w:color w:val="000000"/>
                <w:kern w:val="0"/>
                <w:sz w:val="24"/>
                <w:szCs w:val="24"/>
                <w:u w:val="none" w:color="auto"/>
                <w:shd w:val="clear" w:color="auto" w:fill="auto"/>
              </w:rPr>
              <w:t>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单位</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2020年实际值</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2025年</w:t>
            </w:r>
          </w:p>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目标值</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指标</w:t>
            </w:r>
          </w:p>
          <w:p>
            <w:pPr>
              <w:keepNext w:val="0"/>
              <w:keepLines w:val="0"/>
              <w:pageBreakBefore w:val="0"/>
              <w:widowControl w:val="0"/>
              <w:kinsoku/>
              <w:wordWrap/>
              <w:overflowPunct/>
              <w:topLinePunct w:val="0"/>
              <w:autoSpaceDE/>
              <w:autoSpaceDN/>
              <w:bidi w:val="0"/>
              <w:adjustRightInd/>
              <w:snapToGrid/>
              <w:spacing w:beforeAutospacing="0" w:line="320" w:lineRule="exact"/>
              <w:ind w:left="0"/>
              <w:jc w:val="center"/>
              <w:textAlignment w:val="auto"/>
              <w:rPr>
                <w:rFonts w:hint="eastAsia" w:ascii="方正黑体_GBK" w:hAnsi="方正黑体_GBK" w:eastAsia="方正黑体_GBK" w:cs="方正黑体_GBK"/>
                <w:b w:val="0"/>
                <w:bCs/>
                <w:color w:val="000000"/>
                <w:kern w:val="0"/>
                <w:sz w:val="24"/>
                <w:szCs w:val="24"/>
                <w:u w:val="none" w:color="auto"/>
                <w:shd w:val="clear" w:color="auto" w:fill="auto"/>
              </w:rPr>
            </w:pPr>
            <w:r>
              <w:rPr>
                <w:rFonts w:hint="eastAsia" w:ascii="方正黑体_GBK" w:hAnsi="方正黑体_GBK" w:eastAsia="方正黑体_GBK" w:cs="方正黑体_GBK"/>
                <w:b w:val="0"/>
                <w:bCs/>
                <w:color w:val="000000"/>
                <w:kern w:val="0"/>
                <w:sz w:val="24"/>
                <w:szCs w:val="24"/>
                <w:u w:val="none" w:color="auto"/>
                <w:shd w:val="clear" w:color="auto" w:fill="auto"/>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3"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1</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社会组织专职工作人员数量</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万人</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6.8</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8.15</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00" w:hRule="atLeas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2</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城乡低保标准年度增速</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left"/>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不低于居民上年度人均消费支出增速</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0"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3</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农村牧区低保标准占城市低保标准比例</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71.8</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75</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52"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4</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每百户居民拥有的城乡社区综合服务设施建筑面积</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33</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sz w:val="24"/>
                <w:szCs w:val="24"/>
                <w:u w:val="none" w:color="auto"/>
                <w:shd w:val="clear" w:color="auto" w:fill="auto"/>
              </w:rPr>
            </w:pPr>
            <w:r>
              <w:rPr>
                <w:rFonts w:hint="eastAsia" w:ascii="宋体" w:hAnsi="宋体" w:eastAsia="宋体" w:cs="宋体"/>
                <w:b w:val="0"/>
                <w:bCs/>
                <w:sz w:val="24"/>
                <w:szCs w:val="24"/>
                <w:u w:val="none" w:color="auto"/>
                <w:shd w:val="clear" w:color="auto" w:fill="auto"/>
              </w:rPr>
              <w:t>≥33</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sz w:val="24"/>
                <w:szCs w:val="24"/>
                <w:u w:val="none" w:color="auto"/>
                <w:shd w:val="clear" w:color="auto" w:fill="auto"/>
              </w:rPr>
            </w:pPr>
            <w:r>
              <w:rPr>
                <w:rFonts w:hint="eastAsia" w:ascii="宋体" w:hAnsi="宋体" w:eastAsia="宋体" w:cs="宋体"/>
                <w:b w:val="0"/>
                <w:bCs/>
                <w:sz w:val="24"/>
                <w:szCs w:val="24"/>
                <w:u w:val="none" w:color="auto"/>
                <w:shd w:val="clear" w:color="auto" w:fill="auto"/>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5"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5</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查明身份信息流浪乞讨受助人员接送返回率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100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97"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6</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旗县级城乡公益性安葬（放）设施覆盖率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100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4"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auto"/>
                <w:sz w:val="24"/>
                <w:szCs w:val="24"/>
                <w:u w:val="none" w:color="auto"/>
                <w:shd w:val="clear" w:color="auto" w:fill="auto"/>
                <w:lang w:val="en-US" w:eastAsia="zh-CN"/>
              </w:rPr>
            </w:pPr>
            <w:r>
              <w:rPr>
                <w:rFonts w:hint="eastAsia" w:ascii="宋体" w:hAnsi="宋体" w:eastAsia="宋体" w:cs="宋体"/>
                <w:b w:val="0"/>
                <w:bCs/>
                <w:color w:val="auto"/>
                <w:sz w:val="24"/>
                <w:szCs w:val="24"/>
                <w:u w:val="none" w:color="auto"/>
                <w:shd w:val="clear" w:color="auto" w:fill="auto"/>
                <w:lang w:val="en-US" w:eastAsia="zh-CN"/>
              </w:rPr>
              <w:t>7</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auto"/>
                <w:spacing w:val="-11"/>
                <w:kern w:val="2"/>
                <w:sz w:val="24"/>
                <w:szCs w:val="24"/>
                <w:u w:val="none" w:color="auto"/>
                <w:shd w:val="clear" w:color="auto" w:fill="auto"/>
                <w:lang w:val="en-US" w:eastAsia="zh-CN" w:bidi="ar-SA"/>
              </w:rPr>
            </w:pPr>
            <w:r>
              <w:rPr>
                <w:rFonts w:hint="eastAsia" w:ascii="宋体" w:hAnsi="宋体" w:eastAsia="宋体" w:cs="宋体"/>
                <w:b w:val="0"/>
                <w:bCs/>
                <w:color w:val="auto"/>
                <w:spacing w:val="-17"/>
                <w:sz w:val="24"/>
                <w:szCs w:val="24"/>
                <w:u w:val="none" w:color="auto"/>
                <w:shd w:val="clear" w:color="auto" w:fill="auto"/>
                <w:lang w:eastAsia="zh-CN"/>
              </w:rPr>
              <w:t>铁路、公路两侧整治散埋乱葬完成率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auto"/>
                <w:kern w:val="2"/>
                <w:sz w:val="24"/>
                <w:szCs w:val="24"/>
                <w:u w:val="none" w:color="auto"/>
                <w:shd w:val="clear" w:color="auto" w:fill="auto"/>
                <w:lang w:val="en-US" w:eastAsia="zh-CN" w:bidi="ar-SA"/>
              </w:rPr>
            </w:pPr>
            <w:r>
              <w:rPr>
                <w:rFonts w:hint="eastAsia" w:ascii="宋体" w:hAnsi="宋体" w:eastAsia="宋体" w:cs="宋体"/>
                <w:b w:val="0"/>
                <w:bCs/>
                <w:color w:val="auto"/>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auto"/>
                <w:kern w:val="2"/>
                <w:sz w:val="24"/>
                <w:szCs w:val="24"/>
                <w:u w:val="none" w:color="auto"/>
                <w:shd w:val="clear" w:color="auto" w:fill="auto"/>
                <w:lang w:val="en-US" w:eastAsia="zh-CN" w:bidi="ar-SA"/>
              </w:rPr>
            </w:pP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auto"/>
                <w:kern w:val="2"/>
                <w:sz w:val="24"/>
                <w:szCs w:val="24"/>
                <w:u w:val="none" w:color="auto"/>
                <w:shd w:val="clear" w:color="auto" w:fill="auto"/>
                <w:lang w:val="en-US" w:eastAsia="zh-CN" w:bidi="ar-SA"/>
              </w:rPr>
            </w:pPr>
            <w:r>
              <w:rPr>
                <w:rFonts w:hint="eastAsia" w:ascii="宋体" w:hAnsi="宋体" w:eastAsia="宋体" w:cs="宋体"/>
                <w:b w:val="0"/>
                <w:bCs/>
                <w:color w:val="auto"/>
                <w:sz w:val="24"/>
                <w:szCs w:val="24"/>
                <w:u w:val="none" w:color="auto"/>
                <w:shd w:val="clear" w:color="auto" w:fill="auto"/>
                <w:lang w:val="en-US" w:eastAsia="zh-CN"/>
              </w:rPr>
              <w:t>80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auto"/>
                <w:kern w:val="2"/>
                <w:sz w:val="24"/>
                <w:szCs w:val="24"/>
                <w:u w:val="none" w:color="auto"/>
                <w:shd w:val="clear" w:color="auto" w:fill="auto"/>
                <w:lang w:val="en-US" w:eastAsia="zh-CN" w:bidi="ar-SA"/>
              </w:rPr>
            </w:pPr>
            <w:r>
              <w:rPr>
                <w:rFonts w:hint="eastAsia" w:ascii="宋体" w:hAnsi="宋体" w:eastAsia="宋体" w:cs="宋体"/>
                <w:b w:val="0"/>
                <w:bCs/>
                <w:color w:val="auto"/>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14"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pacing w:val="-11"/>
                <w:sz w:val="24"/>
                <w:szCs w:val="24"/>
                <w:u w:val="none" w:color="auto"/>
                <w:shd w:val="clear" w:color="auto" w:fill="auto"/>
                <w:lang w:eastAsia="zh-CN"/>
              </w:rPr>
            </w:pPr>
            <w:r>
              <w:rPr>
                <w:rFonts w:hint="eastAsia" w:ascii="宋体" w:hAnsi="宋体" w:eastAsia="宋体" w:cs="宋体"/>
                <w:b w:val="0"/>
                <w:bCs/>
                <w:color w:val="000000"/>
                <w:spacing w:val="-11"/>
                <w:sz w:val="24"/>
                <w:szCs w:val="24"/>
                <w:u w:val="none" w:color="auto"/>
                <w:shd w:val="clear" w:color="auto" w:fill="auto"/>
                <w:lang w:val="en-US" w:eastAsia="zh-CN"/>
              </w:rPr>
              <w:t>8</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pacing w:val="-11"/>
                <w:sz w:val="24"/>
                <w:szCs w:val="24"/>
                <w:u w:val="none" w:color="auto"/>
                <w:shd w:val="clear" w:color="auto" w:fill="auto"/>
              </w:rPr>
            </w:pPr>
            <w:r>
              <w:rPr>
                <w:rFonts w:hint="eastAsia" w:ascii="宋体" w:hAnsi="宋体" w:eastAsia="宋体" w:cs="宋体"/>
                <w:b w:val="0"/>
                <w:bCs/>
                <w:color w:val="000000"/>
                <w:spacing w:val="-11"/>
                <w:sz w:val="24"/>
                <w:szCs w:val="24"/>
                <w:u w:val="none" w:color="auto"/>
                <w:shd w:val="clear" w:color="auto" w:fill="auto"/>
              </w:rPr>
              <w:t>婚姻登记“跨省通办”实施率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100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01"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eastAsia="zh-CN"/>
              </w:rPr>
            </w:pPr>
            <w:r>
              <w:rPr>
                <w:rFonts w:hint="eastAsia" w:ascii="宋体" w:hAnsi="宋体" w:eastAsia="宋体" w:cs="宋体"/>
                <w:b w:val="0"/>
                <w:bCs/>
                <w:color w:val="000000"/>
                <w:sz w:val="24"/>
                <w:szCs w:val="24"/>
                <w:u w:val="none" w:color="auto"/>
                <w:shd w:val="clear" w:color="auto" w:fill="auto"/>
                <w:lang w:val="en-US" w:eastAsia="zh-CN"/>
              </w:rPr>
              <w:t>9</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困难残疾人生活补贴覆盖率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Style w:val="21"/>
                <w:rFonts w:hint="eastAsia" w:ascii="宋体" w:hAnsi="宋体" w:eastAsia="宋体" w:cs="宋体"/>
                <w:b w:val="0"/>
                <w:bCs/>
                <w:color w:val="000000"/>
                <w:sz w:val="24"/>
                <w:szCs w:val="24"/>
                <w:u w:val="none" w:color="auto"/>
                <w:shd w:val="clear" w:color="auto" w:fill="auto"/>
              </w:rPr>
              <w:t>100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6"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val="en-US" w:eastAsia="zh-CN"/>
              </w:rPr>
            </w:pPr>
            <w:r>
              <w:rPr>
                <w:rFonts w:hint="eastAsia" w:ascii="宋体" w:hAnsi="宋体" w:eastAsia="宋体" w:cs="宋体"/>
                <w:b w:val="0"/>
                <w:bCs/>
                <w:color w:val="000000"/>
                <w:sz w:val="24"/>
                <w:szCs w:val="24"/>
                <w:u w:val="none" w:color="auto"/>
                <w:shd w:val="clear" w:color="auto" w:fill="auto"/>
                <w:lang w:val="en-US" w:eastAsia="zh-CN"/>
              </w:rPr>
              <w:t>10</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重度残疾人护理补贴覆盖率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Style w:val="21"/>
                <w:rFonts w:hint="eastAsia" w:ascii="宋体" w:hAnsi="宋体" w:eastAsia="宋体" w:cs="宋体"/>
                <w:b w:val="0"/>
                <w:bCs/>
                <w:color w:val="000000"/>
                <w:sz w:val="24"/>
                <w:szCs w:val="24"/>
                <w:u w:val="none" w:color="auto"/>
                <w:shd w:val="clear" w:color="auto" w:fill="auto"/>
              </w:rPr>
              <w:t>100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7"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val="en-US" w:eastAsia="zh-CN"/>
              </w:rPr>
            </w:pPr>
            <w:r>
              <w:rPr>
                <w:rFonts w:hint="eastAsia" w:ascii="宋体" w:hAnsi="宋体" w:eastAsia="宋体" w:cs="宋体"/>
                <w:b w:val="0"/>
                <w:bCs/>
                <w:color w:val="000000"/>
                <w:sz w:val="24"/>
                <w:szCs w:val="24"/>
                <w:u w:val="none" w:color="auto"/>
                <w:shd w:val="clear" w:color="auto" w:fill="auto"/>
                <w:lang w:val="en-US" w:eastAsia="zh-CN"/>
              </w:rPr>
              <w:t>11</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养老机构护理型床位占比</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42</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sz w:val="24"/>
                <w:szCs w:val="24"/>
                <w:u w:val="none" w:color="auto"/>
                <w:shd w:val="clear" w:color="auto" w:fill="auto"/>
              </w:rPr>
              <w:t>≥</w:t>
            </w:r>
            <w:r>
              <w:rPr>
                <w:rFonts w:hint="eastAsia" w:ascii="宋体" w:hAnsi="宋体" w:eastAsia="宋体" w:cs="宋体"/>
                <w:b w:val="0"/>
                <w:bCs/>
                <w:color w:val="000000"/>
                <w:sz w:val="24"/>
                <w:szCs w:val="24"/>
                <w:u w:val="none" w:color="auto"/>
                <w:shd w:val="clear" w:color="auto" w:fill="auto"/>
              </w:rPr>
              <w:t>55</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70"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val="en-US" w:eastAsia="zh-CN"/>
              </w:rPr>
            </w:pPr>
            <w:r>
              <w:rPr>
                <w:rFonts w:hint="eastAsia" w:ascii="宋体" w:hAnsi="宋体" w:eastAsia="宋体" w:cs="宋体"/>
                <w:b w:val="0"/>
                <w:bCs/>
                <w:color w:val="000000"/>
                <w:sz w:val="24"/>
                <w:szCs w:val="24"/>
                <w:u w:val="none" w:color="auto"/>
                <w:shd w:val="clear" w:color="auto" w:fill="auto"/>
                <w:lang w:val="en-US" w:eastAsia="zh-CN"/>
              </w:rPr>
              <w:t>12</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乡镇（街道）范围具备综合功能的养老服务机构覆盖率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60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89"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val="en-US" w:eastAsia="zh-CN"/>
              </w:rPr>
            </w:pPr>
            <w:r>
              <w:rPr>
                <w:rFonts w:hint="eastAsia" w:ascii="宋体" w:hAnsi="宋体" w:eastAsia="宋体" w:cs="宋体"/>
                <w:b w:val="0"/>
                <w:bCs/>
                <w:color w:val="000000"/>
                <w:sz w:val="24"/>
                <w:szCs w:val="24"/>
                <w:u w:val="none" w:color="auto"/>
                <w:shd w:val="clear" w:color="auto" w:fill="auto"/>
                <w:lang w:val="en-US" w:eastAsia="zh-CN"/>
              </w:rPr>
              <w:t>13</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乡镇（街道）未成年人保护工作站覆盖率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50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21"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val="en-US" w:eastAsia="zh-CN"/>
              </w:rPr>
            </w:pPr>
            <w:r>
              <w:rPr>
                <w:rFonts w:hint="eastAsia" w:ascii="宋体" w:hAnsi="宋体" w:eastAsia="宋体" w:cs="宋体"/>
                <w:b w:val="0"/>
                <w:bCs/>
                <w:color w:val="000000"/>
                <w:sz w:val="24"/>
                <w:szCs w:val="24"/>
                <w:u w:val="none" w:color="auto"/>
                <w:shd w:val="clear" w:color="auto" w:fill="auto"/>
                <w:lang w:val="en-US" w:eastAsia="zh-CN"/>
              </w:rPr>
              <w:t>14</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社会工作专业人才总量</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万人</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2.07</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3.5</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1"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val="en-US" w:eastAsia="zh-CN"/>
              </w:rPr>
            </w:pPr>
            <w:r>
              <w:rPr>
                <w:rFonts w:hint="eastAsia" w:ascii="宋体" w:hAnsi="宋体" w:eastAsia="宋体" w:cs="宋体"/>
                <w:b w:val="0"/>
                <w:bCs/>
                <w:color w:val="000000"/>
                <w:sz w:val="24"/>
                <w:szCs w:val="24"/>
                <w:u w:val="none" w:color="auto"/>
                <w:shd w:val="clear" w:color="auto" w:fill="auto"/>
                <w:lang w:val="en-US" w:eastAsia="zh-CN"/>
              </w:rPr>
              <w:t>15</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志愿服务站点在社区综合服务设施中的覆盖率</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80</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24" w:hRule="exact"/>
          <w:jc w:val="center"/>
        </w:trPr>
        <w:tc>
          <w:tcPr>
            <w:tcW w:w="75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lang w:eastAsia="zh-CN"/>
              </w:rPr>
            </w:pPr>
            <w:r>
              <w:rPr>
                <w:rFonts w:hint="eastAsia" w:ascii="宋体" w:hAnsi="宋体" w:eastAsia="宋体" w:cs="宋体"/>
                <w:b w:val="0"/>
                <w:bCs/>
                <w:color w:val="000000"/>
                <w:sz w:val="24"/>
                <w:szCs w:val="24"/>
                <w:u w:val="none" w:color="auto"/>
                <w:shd w:val="clear" w:color="auto" w:fill="auto"/>
              </w:rPr>
              <w:t>1</w:t>
            </w:r>
            <w:r>
              <w:rPr>
                <w:rFonts w:hint="eastAsia" w:ascii="宋体" w:hAnsi="宋体" w:eastAsia="宋体" w:cs="宋体"/>
                <w:b w:val="0"/>
                <w:bCs/>
                <w:color w:val="000000"/>
                <w:sz w:val="24"/>
                <w:szCs w:val="24"/>
                <w:u w:val="none" w:color="auto"/>
                <w:shd w:val="clear" w:color="auto" w:fill="auto"/>
                <w:lang w:val="en-US" w:eastAsia="zh-CN"/>
              </w:rPr>
              <w:t>6</w:t>
            </w:r>
          </w:p>
        </w:tc>
        <w:tc>
          <w:tcPr>
            <w:tcW w:w="3336"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福利彩票销售网点数</w:t>
            </w:r>
          </w:p>
        </w:tc>
        <w:tc>
          <w:tcPr>
            <w:tcW w:w="769"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万个</w:t>
            </w:r>
          </w:p>
        </w:tc>
        <w:tc>
          <w:tcPr>
            <w:tcW w:w="1170"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w:t>
            </w:r>
          </w:p>
        </w:tc>
        <w:tc>
          <w:tcPr>
            <w:tcW w:w="2101"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sz w:val="24"/>
                <w:szCs w:val="24"/>
                <w:u w:val="none" w:color="auto"/>
                <w:shd w:val="clear" w:color="auto" w:fill="auto"/>
              </w:rPr>
              <w:t>0.41</w:t>
            </w:r>
          </w:p>
        </w:tc>
        <w:tc>
          <w:tcPr>
            <w:tcW w:w="1042" w:type="dxa"/>
            <w:tcBorders>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ind w:left="0"/>
              <w:jc w:val="center"/>
              <w:textAlignment w:val="auto"/>
              <w:rPr>
                <w:rFonts w:hint="eastAsia" w:ascii="宋体" w:hAnsi="宋体" w:eastAsia="宋体" w:cs="宋体"/>
                <w:b w:val="0"/>
                <w:bCs/>
                <w:color w:val="000000"/>
                <w:sz w:val="24"/>
                <w:szCs w:val="24"/>
                <w:u w:val="none" w:color="auto"/>
                <w:shd w:val="clear" w:color="auto" w:fill="auto"/>
              </w:rPr>
            </w:pPr>
            <w:r>
              <w:rPr>
                <w:rFonts w:hint="eastAsia" w:ascii="宋体" w:hAnsi="宋体" w:eastAsia="宋体" w:cs="宋体"/>
                <w:b w:val="0"/>
                <w:bCs/>
                <w:color w:val="000000"/>
                <w:kern w:val="0"/>
                <w:sz w:val="24"/>
                <w:szCs w:val="24"/>
                <w:u w:val="none" w:color="auto"/>
                <w:shd w:val="clear" w:color="auto" w:fill="auto"/>
              </w:rPr>
              <w:t>预期性</w:t>
            </w:r>
          </w:p>
        </w:tc>
      </w:tr>
    </w:tbl>
    <w:p>
      <w:pPr>
        <w:keepNext w:val="0"/>
        <w:keepLines w:val="0"/>
        <w:pageBreakBefore w:val="0"/>
        <w:widowControl w:val="0"/>
        <w:kinsoku/>
        <w:wordWrap/>
        <w:overflowPunct/>
        <w:topLinePunct/>
        <w:autoSpaceDE/>
        <w:autoSpaceDN/>
        <w:bidi w:val="0"/>
        <w:adjustRightInd/>
        <w:snapToGrid/>
        <w:spacing w:beforeAutospacing="0" w:line="540" w:lineRule="exact"/>
        <w:ind w:left="0" w:firstLine="640" w:firstLineChars="200"/>
        <w:textAlignment w:val="auto"/>
        <w:rPr>
          <w:rFonts w:ascii="仿宋" w:hAnsi="仿宋" w:eastAsia="仿宋" w:cs="仿宋"/>
          <w:color w:val="000000"/>
          <w:spacing w:val="-6"/>
          <w:sz w:val="32"/>
          <w:szCs w:val="32"/>
          <w:u w:val="none" w:color="auto"/>
          <w:shd w:val="clear" w:color="auto" w:fill="auto"/>
        </w:rPr>
      </w:pPr>
      <w:bookmarkStart w:id="17" w:name="_Toc8299"/>
      <w:bookmarkStart w:id="18" w:name="_Toc29747"/>
      <w:r>
        <w:rPr>
          <w:rFonts w:hint="eastAsia" w:ascii="仿宋" w:hAnsi="仿宋" w:eastAsia="仿宋" w:cs="仿宋"/>
          <w:b w:val="0"/>
          <w:bCs/>
          <w:color w:val="000000"/>
          <w:sz w:val="32"/>
          <w:szCs w:val="32"/>
          <w:u w:val="none" w:color="auto"/>
          <w:shd w:val="clear" w:color="auto" w:fill="auto"/>
          <w:lang w:eastAsia="zh-CN"/>
        </w:rPr>
        <w:t>（二）</w:t>
      </w:r>
      <w:r>
        <w:rPr>
          <w:rFonts w:hint="eastAsia" w:ascii="仿宋" w:hAnsi="仿宋" w:eastAsia="仿宋" w:cs="仿宋"/>
          <w:b w:val="0"/>
          <w:bCs/>
          <w:color w:val="000000"/>
          <w:sz w:val="32"/>
          <w:szCs w:val="32"/>
          <w:u w:val="none" w:color="auto"/>
          <w:shd w:val="clear" w:color="auto" w:fill="auto"/>
        </w:rPr>
        <w:t>2035年远景目标：</w:t>
      </w:r>
      <w:r>
        <w:rPr>
          <w:rFonts w:hint="eastAsia" w:ascii="仿宋" w:hAnsi="仿宋" w:eastAsia="仿宋" w:cs="仿宋"/>
          <w:bCs/>
          <w:color w:val="000000"/>
          <w:sz w:val="32"/>
          <w:szCs w:val="32"/>
          <w:u w:val="none" w:color="auto"/>
          <w:shd w:val="clear" w:color="auto" w:fill="auto"/>
        </w:rPr>
        <w:t>对标国家</w:t>
      </w:r>
      <w:r>
        <w:rPr>
          <w:rFonts w:hint="eastAsia" w:ascii="仿宋" w:hAnsi="仿宋" w:eastAsia="仿宋" w:cs="仿宋"/>
          <w:color w:val="000000"/>
          <w:sz w:val="32"/>
          <w:szCs w:val="32"/>
          <w:u w:val="none" w:color="auto"/>
          <w:shd w:val="clear" w:color="auto" w:fill="auto"/>
        </w:rPr>
        <w:t>基本实现社会主义现代化</w:t>
      </w:r>
      <w:r>
        <w:rPr>
          <w:rFonts w:hint="eastAsia" w:ascii="仿宋" w:hAnsi="仿宋" w:eastAsia="仿宋" w:cs="仿宋"/>
          <w:color w:val="000000"/>
          <w:spacing w:val="-6"/>
          <w:sz w:val="32"/>
          <w:szCs w:val="32"/>
          <w:u w:val="none" w:color="auto"/>
          <w:shd w:val="clear" w:color="auto" w:fill="auto"/>
        </w:rPr>
        <w:t>远景目标，展望2035年，与社会主义现代化国家相匹配的民政制度体系、技术支撑体系、人才队伍体系等全面形成，以人民为中心、共建共治共享、精准高效协同、兼顾韧性和温度的民政事业高质量发展新局面全面形成</w:t>
      </w:r>
      <w:r>
        <w:rPr>
          <w:rFonts w:hint="eastAsia" w:ascii="仿宋" w:hAnsi="仿宋" w:eastAsia="仿宋" w:cs="仿宋"/>
          <w:color w:val="000000"/>
          <w:spacing w:val="-6"/>
          <w:sz w:val="32"/>
          <w:szCs w:val="32"/>
          <w:u w:val="none" w:color="auto"/>
          <w:shd w:val="clear" w:color="auto" w:fill="auto"/>
          <w:lang w:eastAsia="zh-CN"/>
        </w:rPr>
        <w:t>。</w:t>
      </w:r>
      <w:r>
        <w:rPr>
          <w:rFonts w:hint="eastAsia" w:ascii="仿宋" w:hAnsi="仿宋" w:eastAsia="仿宋" w:cs="仿宋"/>
          <w:color w:val="000000"/>
          <w:spacing w:val="-6"/>
          <w:sz w:val="32"/>
          <w:szCs w:val="32"/>
          <w:u w:val="none" w:color="auto"/>
          <w:shd w:val="clear" w:color="auto" w:fill="auto"/>
        </w:rPr>
        <w:t>基本民生保障体系更加完善，精准覆盖全部目标群体，在推进全体人民共同富裕中提供坚实兜底保障</w:t>
      </w:r>
      <w:r>
        <w:rPr>
          <w:rFonts w:hint="eastAsia" w:ascii="仿宋" w:hAnsi="仿宋" w:eastAsia="仿宋" w:cs="仿宋"/>
          <w:color w:val="000000"/>
          <w:spacing w:val="-6"/>
          <w:sz w:val="32"/>
          <w:szCs w:val="32"/>
          <w:u w:val="none" w:color="auto"/>
          <w:shd w:val="clear" w:color="auto" w:fill="auto"/>
          <w:lang w:eastAsia="zh-CN"/>
        </w:rPr>
        <w:t>。</w:t>
      </w:r>
      <w:r>
        <w:rPr>
          <w:rFonts w:hint="eastAsia" w:ascii="仿宋" w:hAnsi="仿宋" w:eastAsia="仿宋" w:cs="仿宋"/>
          <w:color w:val="000000"/>
          <w:spacing w:val="-6"/>
          <w:sz w:val="32"/>
          <w:szCs w:val="32"/>
          <w:u w:val="none" w:color="auto"/>
          <w:shd w:val="clear" w:color="auto" w:fill="auto"/>
        </w:rPr>
        <w:t>基层社会治理能力基本实现现代化，在国家治理体系和治理能力现代化建设和更高水平平安中国建设中发挥重要基础性作用</w:t>
      </w:r>
      <w:r>
        <w:rPr>
          <w:rFonts w:hint="eastAsia" w:ascii="仿宋" w:hAnsi="仿宋" w:eastAsia="仿宋" w:cs="仿宋"/>
          <w:color w:val="000000"/>
          <w:spacing w:val="-6"/>
          <w:sz w:val="32"/>
          <w:szCs w:val="32"/>
          <w:u w:val="none" w:color="auto"/>
          <w:shd w:val="clear" w:color="auto" w:fill="auto"/>
          <w:lang w:eastAsia="zh-CN"/>
        </w:rPr>
        <w:t>。</w:t>
      </w:r>
      <w:r>
        <w:rPr>
          <w:rFonts w:hint="eastAsia" w:ascii="仿宋" w:hAnsi="仿宋" w:eastAsia="仿宋" w:cs="仿宋"/>
          <w:color w:val="000000"/>
          <w:spacing w:val="-6"/>
          <w:sz w:val="32"/>
          <w:szCs w:val="32"/>
          <w:u w:val="none" w:color="auto"/>
          <w:shd w:val="clear" w:color="auto" w:fill="auto"/>
        </w:rPr>
        <w:t>基本社会服务实现更高层次、更高水平发展，成为国家基本公共服务均等化进程的重要支撑，在满足人民美好生活需要中贡献重要力量。</w:t>
      </w:r>
    </w:p>
    <w:p>
      <w:pPr>
        <w:pStyle w:val="2"/>
        <w:keepNext w:val="0"/>
        <w:keepLines w:val="0"/>
        <w:pageBreakBefore w:val="0"/>
        <w:widowControl w:val="0"/>
        <w:kinsoku/>
        <w:wordWrap/>
        <w:overflowPunct/>
        <w:topLinePunct w:val="0"/>
        <w:autoSpaceDE/>
        <w:autoSpaceDN/>
        <w:bidi w:val="0"/>
        <w:adjustRightInd/>
        <w:snapToGrid/>
        <w:spacing w:before="0" w:beforeAutospacing="0" w:after="0" w:line="540" w:lineRule="exact"/>
        <w:ind w:left="0"/>
        <w:textAlignment w:val="auto"/>
        <w:rPr>
          <w:rFonts w:cs="仿宋"/>
          <w:color w:val="000000"/>
          <w:u w:val="none" w:color="auto"/>
          <w:shd w:val="clear" w:color="auto" w:fill="auto"/>
        </w:rPr>
      </w:pPr>
    </w:p>
    <w:bookmarkEnd w:id="17"/>
    <w:bookmarkEnd w:id="18"/>
    <w:p>
      <w:pPr>
        <w:keepNext w:val="0"/>
        <w:keepLines w:val="0"/>
        <w:pageBreakBefore w:val="0"/>
        <w:widowControl w:val="0"/>
        <w:numPr>
          <w:ilvl w:val="0"/>
          <w:numId w:val="3"/>
        </w:numPr>
        <w:kinsoku/>
        <w:wordWrap/>
        <w:overflowPunct/>
        <w:topLinePunct w:val="0"/>
        <w:autoSpaceDE/>
        <w:autoSpaceDN/>
        <w:bidi w:val="0"/>
        <w:adjustRightInd/>
        <w:snapToGrid/>
        <w:spacing w:beforeAutospacing="0" w:line="540" w:lineRule="exact"/>
        <w:ind w:left="0"/>
        <w:jc w:val="center"/>
        <w:textAlignment w:val="auto"/>
        <w:outlineLvl w:val="0"/>
        <w:rPr>
          <w:rFonts w:ascii="黑体" w:hAnsi="黑体" w:eastAsia="黑体" w:cs="黑体"/>
          <w:color w:val="000000"/>
          <w:sz w:val="32"/>
          <w:szCs w:val="32"/>
          <w:u w:val="none" w:color="auto"/>
          <w:shd w:val="clear" w:color="auto" w:fill="auto"/>
        </w:rPr>
      </w:pPr>
      <w:bookmarkStart w:id="19" w:name="_Toc16457"/>
      <w:r>
        <w:rPr>
          <w:rFonts w:hint="eastAsia" w:ascii="黑体" w:hAnsi="黑体" w:eastAsia="黑体" w:cs="黑体"/>
          <w:color w:val="000000"/>
          <w:sz w:val="32"/>
          <w:szCs w:val="32"/>
          <w:u w:val="none" w:color="auto"/>
          <w:shd w:val="clear" w:color="auto" w:fill="auto"/>
          <w:lang w:val="en-US" w:eastAsia="zh-CN"/>
        </w:rPr>
        <w:t xml:space="preserve"> </w:t>
      </w:r>
      <w:r>
        <w:rPr>
          <w:rFonts w:hint="eastAsia" w:ascii="黑体" w:hAnsi="黑体" w:eastAsia="黑体" w:cs="黑体"/>
          <w:color w:val="000000"/>
          <w:sz w:val="32"/>
          <w:szCs w:val="32"/>
          <w:u w:val="none" w:color="auto"/>
          <w:shd w:val="clear" w:color="auto" w:fill="auto"/>
        </w:rPr>
        <w:t>全力提升基本民生保障水平，在扎实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jc w:val="center"/>
        <w:textAlignment w:val="auto"/>
        <w:outlineLvl w:val="0"/>
        <w:rPr>
          <w:rFonts w:ascii="黑体" w:hAnsi="黑体" w:eastAsia="黑体" w:cs="黑体"/>
          <w:color w:val="000000"/>
          <w:sz w:val="32"/>
          <w:szCs w:val="32"/>
          <w:u w:val="none" w:color="auto"/>
          <w:shd w:val="clear" w:color="auto" w:fill="auto"/>
        </w:rPr>
      </w:pPr>
      <w:r>
        <w:rPr>
          <w:rFonts w:hint="eastAsia" w:ascii="黑体" w:hAnsi="黑体" w:eastAsia="黑体" w:cs="黑体"/>
          <w:color w:val="000000"/>
          <w:sz w:val="32"/>
          <w:szCs w:val="32"/>
          <w:u w:val="none" w:color="auto"/>
          <w:shd w:val="clear" w:color="auto" w:fill="auto"/>
        </w:rPr>
        <w:t>推动共同富裕中作出新贡献</w:t>
      </w:r>
      <w:bookmarkEnd w:id="19"/>
    </w:p>
    <w:p>
      <w:pPr>
        <w:pStyle w:val="2"/>
        <w:keepNext w:val="0"/>
        <w:keepLines w:val="0"/>
        <w:pageBreakBefore w:val="0"/>
        <w:widowControl w:val="0"/>
        <w:kinsoku/>
        <w:wordWrap/>
        <w:overflowPunct/>
        <w:topLinePunct w:val="0"/>
        <w:autoSpaceDE/>
        <w:autoSpaceDN/>
        <w:bidi w:val="0"/>
        <w:adjustRightInd/>
        <w:snapToGrid/>
        <w:spacing w:before="0" w:beforeAutospacing="0" w:after="0" w:line="540" w:lineRule="exact"/>
        <w:ind w:left="0"/>
        <w:textAlignment w:val="auto"/>
        <w:rPr>
          <w:rFonts w:cs="仿宋"/>
          <w:color w:val="000000"/>
          <w:u w:val="none" w:color="auto"/>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32"/>
          <w:szCs w:val="32"/>
          <w:u w:val="none" w:color="auto"/>
          <w:shd w:val="clear" w:color="auto" w:fill="auto"/>
        </w:rPr>
        <w:t>坚持以人民为中心，尽力而为、量力而行，推动巩固拓展脱贫攻坚兜底保障成果同乡村振兴有效衔接，健全分层分类的社会救助体系，稳步提升残疾人、孤儿等社会福利水平，不断增强人民群众获得感、幸福感、安全感。</w:t>
      </w:r>
    </w:p>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textAlignment w:val="auto"/>
        <w:rPr>
          <w:rFonts w:cs="仿宋"/>
          <w:color w:val="000000"/>
          <w:u w:val="none" w:color="auto"/>
          <w:shd w:val="clear" w:color="auto" w:fill="auto"/>
        </w:rPr>
      </w:pPr>
      <w:bookmarkStart w:id="20" w:name="_Toc2644"/>
      <w:bookmarkStart w:id="21" w:name="_Toc16482"/>
      <w:bookmarkStart w:id="22" w:name="_Toc16515"/>
    </w:p>
    <w:bookmarkEnd w:id="20"/>
    <w:p>
      <w:pPr>
        <w:keepNext w:val="0"/>
        <w:keepLines w:val="0"/>
        <w:pageBreakBefore w:val="0"/>
        <w:widowControl w:val="0"/>
        <w:numPr>
          <w:ilvl w:val="0"/>
          <w:numId w:val="4"/>
        </w:numPr>
        <w:kinsoku/>
        <w:wordWrap/>
        <w:overflowPunct/>
        <w:topLinePunct w:val="0"/>
        <w:autoSpaceDE/>
        <w:autoSpaceDN/>
        <w:bidi w:val="0"/>
        <w:adjustRightInd/>
        <w:snapToGrid/>
        <w:spacing w:beforeAutospacing="0" w:line="580" w:lineRule="exact"/>
        <w:ind w:left="0"/>
        <w:jc w:val="center"/>
        <w:textAlignment w:val="auto"/>
        <w:outlineLvl w:val="1"/>
        <w:rPr>
          <w:rFonts w:ascii="楷体" w:hAnsi="楷体" w:eastAsia="楷体" w:cs="楷体"/>
          <w:bCs/>
          <w:color w:val="000000"/>
          <w:sz w:val="32"/>
          <w:szCs w:val="32"/>
          <w:u w:val="none" w:color="auto"/>
          <w:shd w:val="clear" w:color="auto" w:fill="auto"/>
        </w:rPr>
      </w:pPr>
      <w:bookmarkStart w:id="23" w:name="_Toc21791"/>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实现巩固拓展脱贫攻坚兜底保障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jc w:val="center"/>
        <w:textAlignment w:val="auto"/>
        <w:outlineLvl w:val="1"/>
        <w:rPr>
          <w:rFonts w:hint="eastAsia" w:ascii="楷体" w:hAnsi="楷体" w:eastAsia="楷体" w:cs="楷体"/>
          <w:bCs/>
          <w:color w:val="000000"/>
          <w:sz w:val="32"/>
          <w:szCs w:val="32"/>
          <w:u w:val="none" w:color="auto"/>
          <w:shd w:val="clear" w:color="auto" w:fill="auto"/>
        </w:rPr>
      </w:pPr>
      <w:r>
        <w:rPr>
          <w:rFonts w:hint="eastAsia" w:ascii="楷体" w:hAnsi="楷体" w:eastAsia="楷体" w:cs="楷体"/>
          <w:bCs/>
          <w:color w:val="000000"/>
          <w:sz w:val="32"/>
          <w:szCs w:val="32"/>
          <w:u w:val="none" w:color="auto"/>
          <w:shd w:val="clear" w:color="auto" w:fill="auto"/>
        </w:rPr>
        <w:t>成果同乡村振兴有效衔接</w:t>
      </w:r>
      <w:bookmarkEnd w:id="23"/>
    </w:p>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textAlignment w:val="auto"/>
      </w:pPr>
    </w:p>
    <w:bookmarkEnd w:id="21"/>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bCs/>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巩固拓展脱贫攻坚兜底保障成果。</w:t>
      </w:r>
      <w:r>
        <w:rPr>
          <w:rFonts w:hint="eastAsia" w:ascii="仿宋" w:hAnsi="仿宋" w:eastAsia="仿宋" w:cs="仿宋"/>
          <w:bCs w:val="0"/>
          <w:color w:val="000000"/>
          <w:sz w:val="32"/>
          <w:szCs w:val="32"/>
          <w:u w:val="none" w:color="auto"/>
          <w:shd w:val="clear" w:color="auto" w:fill="auto"/>
        </w:rPr>
        <w:t>严</w:t>
      </w:r>
      <w:r>
        <w:rPr>
          <w:rFonts w:hint="eastAsia" w:ascii="仿宋" w:hAnsi="仿宋" w:eastAsia="仿宋" w:cs="仿宋"/>
          <w:bCs/>
          <w:color w:val="000000"/>
          <w:sz w:val="32"/>
          <w:szCs w:val="32"/>
          <w:u w:val="none" w:color="auto"/>
          <w:shd w:val="clear" w:color="auto" w:fill="auto"/>
        </w:rPr>
        <w:t>格落实“摘帽不摘责任、摘帽不摘政策、摘帽不摘帮扶、摘帽不摘监管”要求，持续开展民政部门定点帮扶。积极做好异地搬迁后续扶持，完善集中安置区配套设施和公共服务，加强对国家和自治区确定的乡村振兴重点帮扶旗县的支持。建设低收入人口动态监测信息平台，加强对低保对象、特困人员、低保边缘家庭等易返贫致贫人口，以及因病因灾因意外事故等刚性支出较大或收入大幅缩减导致基本生活出现严重困难人口等农村牧区低收入人口的动态监测，健全常态化救助帮扶机制。健全多部门联动的风险预警、研判和处置机制，完善农村牧区低收入人口定期核查和动态调整机制。保持农村牧区社会救助政策持续稳定，完善农村牧区社会救助制度</w:t>
      </w:r>
      <w:r>
        <w:rPr>
          <w:rFonts w:hint="eastAsia" w:ascii="仿宋" w:hAnsi="仿宋" w:eastAsia="仿宋" w:cs="仿宋"/>
          <w:bCs/>
          <w:color w:val="000000"/>
          <w:sz w:val="32"/>
          <w:szCs w:val="32"/>
          <w:u w:val="none" w:color="auto"/>
          <w:shd w:val="clear" w:color="auto" w:fill="auto"/>
          <w:lang w:eastAsia="zh-CN"/>
        </w:rPr>
        <w:t>，</w:t>
      </w:r>
      <w:r>
        <w:rPr>
          <w:rFonts w:hint="eastAsia" w:ascii="仿宋" w:hAnsi="仿宋" w:eastAsia="仿宋" w:cs="仿宋"/>
          <w:bCs/>
          <w:color w:val="000000"/>
          <w:sz w:val="32"/>
          <w:szCs w:val="32"/>
          <w:u w:val="none" w:color="auto"/>
          <w:shd w:val="clear" w:color="auto" w:fill="auto"/>
        </w:rPr>
        <w:t>调整优化对原建档立卡贫困户的低保“单人户”政策，将未纳入低保或特困供养范围的低保边缘家庭中的重病、重残人员，参照“单人户”纳入低保。鼓励有劳动能力的农村牧区低保对象参与就业，在计算家庭收入时扣减必要的就业成本。完善农村牧区特困人员救助供养制度，合理提高救助供养水平和服务质量。加强社会救助资源统筹，根据对象类型、困难程度等，及时有针对性地给予困难群众医疗、教育、住房、就业等专项救助，做到精准识别、应救尽救。</w:t>
      </w:r>
      <w:r>
        <w:rPr>
          <w:rFonts w:hint="eastAsia" w:ascii="仿宋" w:hAnsi="仿宋" w:eastAsia="仿宋" w:cs="仿宋"/>
          <w:color w:val="000000"/>
          <w:sz w:val="32"/>
          <w:szCs w:val="32"/>
          <w:u w:val="none" w:color="auto"/>
          <w:shd w:val="clear" w:color="auto" w:fill="auto"/>
        </w:rPr>
        <w:t>健全完善临时救助制度，加大对遭遇突发性、紧迫性、临时性生活困难群众救助力度，</w:t>
      </w:r>
      <w:r>
        <w:rPr>
          <w:rFonts w:hint="eastAsia" w:ascii="仿宋" w:hAnsi="仿宋" w:eastAsia="仿宋" w:cs="仿宋"/>
          <w:bCs/>
          <w:color w:val="000000"/>
          <w:sz w:val="32"/>
          <w:szCs w:val="32"/>
          <w:u w:val="none" w:color="auto"/>
          <w:shd w:val="clear" w:color="auto" w:fill="auto"/>
        </w:rPr>
        <w:t>做到凡困必帮、有难必救。强化旗县</w:t>
      </w:r>
      <w:r>
        <w:rPr>
          <w:rFonts w:hint="eastAsia" w:ascii="仿宋" w:hAnsi="仿宋" w:eastAsia="仿宋" w:cs="仿宋"/>
          <w:bCs/>
          <w:color w:val="000000"/>
          <w:sz w:val="32"/>
          <w:szCs w:val="32"/>
          <w:u w:val="none" w:color="auto"/>
          <w:shd w:val="clear" w:color="auto" w:fill="auto"/>
          <w:lang w:eastAsia="zh-CN"/>
        </w:rPr>
        <w:t>（市、区）、苏木</w:t>
      </w:r>
      <w:r>
        <w:rPr>
          <w:rFonts w:hint="eastAsia" w:ascii="仿宋" w:hAnsi="仿宋" w:eastAsia="仿宋" w:cs="仿宋"/>
          <w:bCs/>
          <w:color w:val="000000"/>
          <w:sz w:val="32"/>
          <w:szCs w:val="32"/>
          <w:u w:val="none" w:color="auto"/>
          <w:shd w:val="clear" w:color="auto" w:fill="auto"/>
        </w:rPr>
        <w:t>乡镇两级公办养老机构对失能、部分失能特困老年人的兜底保障。切实保障好农村牧区孤儿、事实无人抚养儿童及其他困境儿童等</w:t>
      </w:r>
      <w:r>
        <w:rPr>
          <w:rFonts w:hint="eastAsia" w:ascii="仿宋" w:hAnsi="仿宋" w:eastAsia="仿宋" w:cs="仿宋"/>
          <w:bCs/>
          <w:color w:val="000000"/>
          <w:sz w:val="32"/>
          <w:szCs w:val="32"/>
          <w:u w:val="none" w:color="auto"/>
          <w:shd w:val="clear" w:color="auto" w:fill="auto"/>
          <w:lang w:eastAsia="zh-CN"/>
        </w:rPr>
        <w:t>的</w:t>
      </w:r>
      <w:r>
        <w:rPr>
          <w:rFonts w:hint="eastAsia" w:ascii="仿宋" w:hAnsi="仿宋" w:eastAsia="仿宋" w:cs="仿宋"/>
          <w:bCs/>
          <w:color w:val="000000"/>
          <w:sz w:val="32"/>
          <w:szCs w:val="32"/>
          <w:u w:val="none" w:color="auto"/>
          <w:shd w:val="clear" w:color="auto" w:fill="auto"/>
        </w:rPr>
        <w:t>基本生活。</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建立健全农村牧区救助关爱服务体系。</w:t>
      </w:r>
      <w:r>
        <w:rPr>
          <w:rFonts w:hint="eastAsia" w:ascii="仿宋" w:hAnsi="仿宋" w:eastAsia="仿宋" w:cs="仿宋"/>
          <w:bCs/>
          <w:color w:val="000000"/>
          <w:sz w:val="32"/>
          <w:szCs w:val="32"/>
          <w:u w:val="none" w:color="auto"/>
          <w:shd w:val="clear" w:color="auto" w:fill="auto"/>
        </w:rPr>
        <w:t>推</w:t>
      </w:r>
      <w:r>
        <w:rPr>
          <w:rFonts w:hint="eastAsia" w:ascii="仿宋" w:hAnsi="仿宋" w:eastAsia="仿宋" w:cs="仿宋"/>
          <w:color w:val="000000"/>
          <w:sz w:val="32"/>
          <w:szCs w:val="32"/>
          <w:u w:val="none" w:color="auto"/>
          <w:shd w:val="clear" w:color="auto" w:fill="auto"/>
        </w:rPr>
        <w:t>进社会救助制度城乡统筹发展，加大农村牧区社会救助投入，逐步缩小城乡差距、区域差距，推进城乡社会救助服务均等化。完善帮扶残疾人、孤儿等社会福利制度，健全农村</w:t>
      </w:r>
      <w:r>
        <w:rPr>
          <w:rFonts w:hint="eastAsia" w:ascii="仿宋" w:hAnsi="仿宋" w:eastAsia="仿宋" w:cs="仿宋"/>
          <w:color w:val="000000"/>
          <w:sz w:val="32"/>
          <w:szCs w:val="32"/>
          <w:u w:val="none" w:color="auto"/>
          <w:shd w:val="clear" w:color="auto" w:fill="auto"/>
          <w:lang w:eastAsia="zh-CN"/>
        </w:rPr>
        <w:t>牧区</w:t>
      </w:r>
      <w:r>
        <w:rPr>
          <w:rFonts w:hint="eastAsia" w:ascii="仿宋" w:hAnsi="仿宋" w:eastAsia="仿宋" w:cs="仿宋"/>
          <w:color w:val="000000"/>
          <w:sz w:val="32"/>
          <w:szCs w:val="32"/>
          <w:u w:val="none" w:color="auto"/>
          <w:shd w:val="clear" w:color="auto" w:fill="auto"/>
        </w:rPr>
        <w:t>困境儿童和留守老年人、留守儿童、留守妇女关爱服务体系。统筹推进农村牧区民政服务设施和村（嘎查）级综合服务设施建设，促进公共服务资源向农村牧区覆盖，推动农村牧区公共服务水平持续提升。加强农村牧区基层社会治理队伍建设。鼓励引导社会组织、社会工作者和志愿服务组织积极向</w:t>
      </w:r>
      <w:r>
        <w:rPr>
          <w:rFonts w:hint="eastAsia" w:ascii="仿宋" w:hAnsi="仿宋" w:eastAsia="仿宋" w:cs="仿宋"/>
          <w:color w:val="000000"/>
          <w:sz w:val="32"/>
          <w:szCs w:val="32"/>
          <w:u w:val="none" w:color="auto"/>
          <w:shd w:val="clear" w:color="auto" w:fill="auto"/>
          <w:lang w:eastAsia="zh-CN"/>
        </w:rPr>
        <w:t>农村牧区</w:t>
      </w:r>
      <w:r>
        <w:rPr>
          <w:rFonts w:hint="eastAsia" w:ascii="仿宋" w:hAnsi="仿宋" w:eastAsia="仿宋" w:cs="仿宋"/>
          <w:color w:val="000000"/>
          <w:sz w:val="32"/>
          <w:szCs w:val="32"/>
          <w:u w:val="none" w:color="auto"/>
          <w:shd w:val="clear" w:color="auto" w:fill="auto"/>
        </w:rPr>
        <w:t>提供民政公共服务，共同推进乡村振兴。</w:t>
      </w:r>
    </w:p>
    <w:bookmarkEnd w:id="22"/>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beforeAutospacing="0" w:after="313" w:afterLines="100" w:line="580" w:lineRule="exact"/>
        <w:ind w:left="0" w:leftChars="0" w:firstLine="0" w:firstLineChars="0"/>
        <w:jc w:val="center"/>
        <w:textAlignment w:val="auto"/>
        <w:outlineLvl w:val="1"/>
        <w:rPr>
          <w:rFonts w:hint="eastAsia" w:ascii="楷体" w:hAnsi="楷体" w:eastAsia="楷体" w:cs="楷体"/>
          <w:bCs/>
          <w:color w:val="000000"/>
          <w:sz w:val="32"/>
          <w:szCs w:val="32"/>
          <w:u w:val="none" w:color="auto"/>
          <w:shd w:val="clear" w:color="auto" w:fill="auto"/>
        </w:rPr>
      </w:pPr>
      <w:bookmarkStart w:id="24" w:name="_Toc7723"/>
      <w:bookmarkStart w:id="25" w:name="_Toc30806"/>
      <w:bookmarkStart w:id="26" w:name="_Toc26894"/>
      <w:r>
        <w:rPr>
          <w:rFonts w:hint="eastAsia" w:ascii="楷体" w:hAnsi="楷体" w:eastAsia="楷体" w:cs="楷体"/>
          <w:bCs/>
          <w:color w:val="000000"/>
          <w:sz w:val="32"/>
          <w:szCs w:val="32"/>
          <w:u w:val="none" w:color="auto"/>
          <w:shd w:val="clear" w:color="auto" w:fill="auto"/>
        </w:rPr>
        <w:t xml:space="preserve"> 改革完善社会救助制度</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27" w:firstLineChars="196"/>
        <w:jc w:val="both"/>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建立健全分层分类的救助制度体系</w:t>
      </w:r>
      <w:r>
        <w:rPr>
          <w:rFonts w:hint="eastAsia" w:ascii="仿宋" w:hAnsi="仿宋" w:eastAsia="仿宋" w:cs="仿宋"/>
          <w:color w:val="000000"/>
          <w:sz w:val="32"/>
          <w:szCs w:val="32"/>
          <w:u w:val="none" w:color="auto"/>
          <w:shd w:val="clear" w:color="auto" w:fill="auto"/>
        </w:rPr>
        <w:t>。认真贯彻落实社会救助相关法律制度。健全低保制度，完善低保审核确认办法，规范低保对象认定程序，提高科学性和精准度。持续分档或根据家庭人均收入与低保标准的实际差额发放低保金，提高救助资金使用效益。加快推进城乡低保统筹发展，有条件的地区积极推行持有居住证人员在居住地申请低保。加强对低保边缘家庭和支出型困难家庭的救助工作，分层分类实施社会救助。加强特困人员救助供养工作，完善特困人员认定办法，将特困人员救助供养覆盖的未成年人年龄从16周岁延长至18周岁。做好残疾儿童康复救助、重度残疾人护理补贴、孤儿保障、事实无人抚养儿童保障等制度与社会救助政策有效衔接。强化急难社会救助功能，对遭遇突发事件、意外伤害、重大疾病、受传染病疫情等突发公共卫生事件影响或其他特殊原因导致基本生活暂时陷入困境，靠自身和家庭无力解决，其他社会救助制度暂时无法覆盖或救助之后生活仍有困难的家庭或个人，通过临时救助或生活无着的流浪乞讨人员救助给予应急性、过渡性生活保障。逐步取消户籍地、居住地申请限制，探索由急难发生地实施临时救助。畅通急难情况及时报告、主动发现渠道，健全快速响应、个案会商“救急难”工作机制。统筹社会救助体系，强化救助政策衔接，推进救助制度整合。建立容错纠错机制。</w:t>
      </w:r>
    </w:p>
    <w:p>
      <w:pPr>
        <w:pStyle w:val="16"/>
        <w:keepNext w:val="0"/>
        <w:keepLines w:val="0"/>
        <w:pageBreakBefore w:val="0"/>
        <w:widowControl w:val="0"/>
        <w:kinsoku/>
        <w:wordWrap/>
        <w:overflowPunct/>
        <w:topLinePunct w:val="0"/>
        <w:autoSpaceDE/>
        <w:autoSpaceDN/>
        <w:bidi w:val="0"/>
        <w:adjustRightInd/>
        <w:snapToGrid/>
        <w:spacing w:beforeAutospacing="0" w:line="580" w:lineRule="exact"/>
        <w:ind w:left="0" w:firstLine="643"/>
        <w:textAlignment w:val="auto"/>
        <w:rPr>
          <w:rFonts w:ascii="仿宋" w:hAnsi="仿宋" w:eastAsia="仿宋" w:cs="仿宋"/>
          <w:color w:val="000000"/>
          <w:spacing w:val="-4"/>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完善基本生活救助标准动态调整机制</w:t>
      </w:r>
      <w:r>
        <w:rPr>
          <w:rFonts w:hint="eastAsia" w:ascii="仿宋" w:hAnsi="仿宋" w:eastAsia="仿宋" w:cs="仿宋"/>
          <w:color w:val="000000"/>
          <w:sz w:val="32"/>
          <w:szCs w:val="32"/>
          <w:u w:val="none" w:color="auto"/>
          <w:shd w:val="clear" w:color="auto" w:fill="auto"/>
        </w:rPr>
        <w:t>。</w:t>
      </w:r>
      <w:r>
        <w:rPr>
          <w:rFonts w:hint="eastAsia" w:ascii="仿宋" w:hAnsi="仿宋" w:eastAsia="仿宋" w:cs="仿宋"/>
          <w:color w:val="000000"/>
          <w:spacing w:val="0"/>
          <w:sz w:val="32"/>
          <w:szCs w:val="32"/>
          <w:u w:val="none" w:color="auto"/>
          <w:shd w:val="clear" w:color="auto" w:fill="auto"/>
        </w:rPr>
        <w:t>完</w:t>
      </w:r>
      <w:r>
        <w:rPr>
          <w:rFonts w:hint="eastAsia" w:ascii="仿宋" w:hAnsi="仿宋" w:eastAsia="仿宋" w:cs="仿宋"/>
          <w:color w:val="000000"/>
          <w:spacing w:val="-4"/>
          <w:sz w:val="32"/>
          <w:szCs w:val="32"/>
          <w:u w:val="none" w:color="auto"/>
          <w:shd w:val="clear" w:color="auto" w:fill="auto"/>
        </w:rPr>
        <w:t>善低保标准制定办法，建立与居民人均消费支出或人均可支配收入水平挂钩的动态调整机制。各地区可在当地低保标准基础上上浮一定比例确定特困人员基本生活标准，原则上不低于1.3倍，并根据生活自理能力和服务需求分档制定照料护理标准。鼓励有条件的地区探索在盟市范围</w:t>
      </w:r>
      <w:r>
        <w:rPr>
          <w:rFonts w:hint="eastAsia" w:ascii="仿宋" w:hAnsi="仿宋" w:eastAsia="仿宋" w:cs="仿宋"/>
          <w:color w:val="000000"/>
          <w:spacing w:val="-4"/>
          <w:sz w:val="32"/>
          <w:szCs w:val="32"/>
          <w:u w:val="none" w:color="auto"/>
          <w:shd w:val="clear" w:color="auto" w:fill="auto"/>
          <w:lang w:eastAsia="zh-CN"/>
        </w:rPr>
        <w:t>内</w:t>
      </w:r>
      <w:r>
        <w:rPr>
          <w:rFonts w:hint="eastAsia" w:ascii="仿宋" w:hAnsi="仿宋" w:eastAsia="仿宋" w:cs="仿宋"/>
          <w:color w:val="000000"/>
          <w:spacing w:val="-4"/>
          <w:sz w:val="32"/>
          <w:szCs w:val="32"/>
          <w:u w:val="none" w:color="auto"/>
          <w:shd w:val="clear" w:color="auto" w:fill="auto"/>
        </w:rPr>
        <w:t>研究制定相对统一的区域救助标准，逐步缩小城乡区域差距。完善社会救助和保障标准与物价上涨挂钩联动机制。</w:t>
      </w:r>
    </w:p>
    <w:p>
      <w:pPr>
        <w:pStyle w:val="16"/>
        <w:keepNext w:val="0"/>
        <w:keepLines w:val="0"/>
        <w:pageBreakBefore w:val="0"/>
        <w:widowControl w:val="0"/>
        <w:kinsoku/>
        <w:wordWrap/>
        <w:overflowPunct/>
        <w:topLinePunct w:val="0"/>
        <w:autoSpaceDE/>
        <w:autoSpaceDN/>
        <w:bidi w:val="0"/>
        <w:adjustRightInd/>
        <w:snapToGrid/>
        <w:spacing w:beforeAutospacing="0" w:line="580" w:lineRule="exact"/>
        <w:ind w:left="0" w:firstLine="643"/>
        <w:textAlignment w:val="auto"/>
        <w:rPr>
          <w:rFonts w:hint="eastAsia"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强化社会救助家庭经济状况核对机制建设</w:t>
      </w:r>
      <w:r>
        <w:rPr>
          <w:rFonts w:hint="eastAsia" w:ascii="仿宋" w:hAnsi="仿宋" w:eastAsia="仿宋" w:cs="仿宋"/>
          <w:bCs/>
          <w:color w:val="000000"/>
          <w:sz w:val="32"/>
          <w:szCs w:val="32"/>
          <w:u w:val="none" w:color="auto"/>
          <w:shd w:val="clear" w:color="auto" w:fill="auto"/>
        </w:rPr>
        <w:t>。完</w:t>
      </w:r>
      <w:r>
        <w:rPr>
          <w:rFonts w:hint="eastAsia" w:ascii="仿宋" w:hAnsi="仿宋" w:eastAsia="仿宋" w:cs="仿宋"/>
          <w:color w:val="000000"/>
          <w:sz w:val="32"/>
          <w:szCs w:val="32"/>
          <w:u w:val="none" w:color="auto"/>
          <w:shd w:val="clear" w:color="auto" w:fill="auto"/>
        </w:rPr>
        <w:t>善低保家庭收入财产认定方法，制定与经济社会发展水平相适应的低保家庭财产限定标准或条件。加快民政与教育、公安、人力资源社会保障、自然资源、住房城乡建设、卫生健康、市场监管、医疗保障、金融、乡村振兴、残联等部门和机构信息互联互通、数据共享共用，依法明确和落实相关部门、机构提供社会救助家庭收入及财产信息的责任。合理丰富核对内容，不断完善核对系统，逐步开展全区联网的统一核对工作。强化信息技术支撑，提高信息核对工作效率。加强核对系统与社会救助管理信息系统之间的协同，形成无缝衔接、精准高效的社会救助对象认定机制。</w:t>
      </w:r>
    </w:p>
    <w:p>
      <w:pPr>
        <w:pStyle w:val="16"/>
        <w:keepNext w:val="0"/>
        <w:keepLines w:val="0"/>
        <w:pageBreakBefore w:val="0"/>
        <w:kinsoku/>
        <w:wordWrap/>
        <w:overflowPunct/>
        <w:topLinePunct w:val="0"/>
        <w:autoSpaceDE/>
        <w:autoSpaceDN/>
        <w:bidi w:val="0"/>
        <w:spacing w:beforeAutospacing="0" w:line="580" w:lineRule="exact"/>
        <w:ind w:left="0" w:firstLine="643"/>
        <w:textAlignment w:val="auto"/>
        <w:rPr>
          <w:rFonts w:hint="eastAsia"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积极发展服务类社会救助</w:t>
      </w:r>
      <w:r>
        <w:rPr>
          <w:rFonts w:hint="eastAsia" w:ascii="仿宋" w:hAnsi="仿宋" w:eastAsia="仿宋" w:cs="仿宋"/>
          <w:color w:val="000000"/>
          <w:sz w:val="32"/>
          <w:szCs w:val="32"/>
          <w:u w:val="none" w:color="auto"/>
          <w:shd w:val="clear" w:color="auto" w:fill="auto"/>
        </w:rPr>
        <w:t>。拓展“物质+服务”的救助方式，为有需要的救助对象提供心理辅导、社会融入、资源链接等服务，增强困难群众内生动力和自我发展能力。探索通过政府购买服务等方式对社会救助家庭中生活不能自理的老年人、未成年人、残疾人等提供必要的访视、照料服务。加强社会工作服务，帮助救助对象构建家庭和社会支持网络。</w:t>
      </w:r>
    </w:p>
    <w:p>
      <w:pPr>
        <w:pStyle w:val="16"/>
        <w:keepNext w:val="0"/>
        <w:keepLines w:val="0"/>
        <w:pageBreakBefore w:val="0"/>
        <w:kinsoku/>
        <w:wordWrap/>
        <w:overflowPunct/>
        <w:topLinePunct w:val="0"/>
        <w:autoSpaceDE/>
        <w:autoSpaceDN/>
        <w:bidi w:val="0"/>
        <w:spacing w:beforeAutospacing="0" w:line="580" w:lineRule="exact"/>
        <w:ind w:left="0" w:firstLine="643"/>
        <w:textAlignment w:val="auto"/>
        <w:rPr>
          <w:rFonts w:hint="eastAsia"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lang w:bidi="mn-Mong-CN"/>
        </w:rPr>
        <w:t>优化社会救助服务。</w:t>
      </w:r>
      <w:r>
        <w:rPr>
          <w:rFonts w:hint="eastAsia" w:ascii="仿宋" w:hAnsi="仿宋" w:eastAsia="仿宋" w:cs="仿宋"/>
          <w:color w:val="000000"/>
          <w:sz w:val="32"/>
          <w:szCs w:val="32"/>
          <w:u w:val="none" w:color="auto"/>
          <w:shd w:val="clear" w:color="auto" w:fill="auto"/>
          <w:lang w:bidi="mn-Mong-CN"/>
        </w:rPr>
        <w:t>全</w:t>
      </w:r>
      <w:r>
        <w:rPr>
          <w:rFonts w:hint="eastAsia" w:ascii="仿宋" w:hAnsi="仿宋" w:eastAsia="仿宋" w:cs="仿宋"/>
          <w:color w:val="000000"/>
          <w:sz w:val="32"/>
          <w:szCs w:val="32"/>
          <w:u w:val="none" w:color="auto"/>
          <w:shd w:val="clear" w:color="auto" w:fill="auto"/>
        </w:rPr>
        <w:t>面推行“一门受理、协同办理”，由苏木乡镇（街道办事处）经办机构统一受理社会救助申请，并按照职责分工及时办理或转旗县级相关职能部门办理。优化审核确认程序，有条件的地方可按程序将低保、特困等社会救助审核确认权限下放至苏木乡镇（街道办事处），取消可通过政务服务平台查询的相关证明材料，落实旗县（市、区）民政部门监督指导责任。加快服务管理转型升级，推进现代信息技术在社会救助领域的运用，完善社会救助资源库，推动社会救助服务向移动端延伸。持续畅通社会救助热线，规范接听、受理、处置、反馈等服务流程，实现及时发现、快速响应、即时救助。</w:t>
      </w:r>
    </w:p>
    <w:p>
      <w:pPr>
        <w:pStyle w:val="16"/>
        <w:keepNext w:val="0"/>
        <w:keepLines w:val="0"/>
        <w:pageBreakBefore w:val="0"/>
        <w:kinsoku/>
        <w:wordWrap/>
        <w:overflowPunct/>
        <w:topLinePunct w:val="0"/>
        <w:autoSpaceDE/>
        <w:autoSpaceDN/>
        <w:bidi w:val="0"/>
        <w:spacing w:beforeAutospacing="0" w:line="580" w:lineRule="exact"/>
        <w:ind w:left="0" w:firstLine="643"/>
        <w:textAlignment w:val="auto"/>
        <w:rPr>
          <w:rFonts w:hint="eastAsia"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lang w:bidi="mn-Mong-CN"/>
        </w:rPr>
        <w:t>保障流浪乞讨人员人身安全和基本生活。</w:t>
      </w:r>
      <w:r>
        <w:rPr>
          <w:rFonts w:hint="eastAsia" w:ascii="仿宋" w:hAnsi="仿宋" w:eastAsia="仿宋" w:cs="仿宋"/>
          <w:color w:val="000000"/>
          <w:sz w:val="32"/>
          <w:szCs w:val="32"/>
          <w:u w:val="none" w:color="auto"/>
          <w:shd w:val="clear" w:color="auto" w:fill="auto"/>
          <w:lang w:bidi="mn-Mong-CN"/>
        </w:rPr>
        <w:t>建立</w:t>
      </w:r>
      <w:r>
        <w:rPr>
          <w:rFonts w:hint="eastAsia" w:ascii="仿宋" w:hAnsi="仿宋" w:eastAsia="仿宋" w:cs="仿宋"/>
          <w:color w:val="000000"/>
          <w:sz w:val="32"/>
          <w:szCs w:val="32"/>
          <w:u w:val="none" w:color="auto"/>
          <w:shd w:val="clear" w:color="auto" w:fill="auto"/>
        </w:rPr>
        <w:t>健全各级救助管理工作领导协调机制，明确部门职责，强化协同联动。充分发挥平安建设（综治工作）考核评价体系作用，提升救助管理水平。配套完善救助管理政策体系和标准体系，落实落户安置、源头治理等配套政策，强化站内照料职责，加强托养机构监管，切实保障受助人员人身安全和基本生活。健全流浪乞讨人员转介处置机制，减少不文明流浪乞讨现象。推进救助寻亲服务，充分利用智能化手段，发动社会力量，帮助滞留人员回归家庭和社会。推动符合条件的长期滞留人员落户安置并享受相应社会保障。推进源头治理，建立易流浪走失人员信息库，减少反复流浪乞讨现象。</w:t>
      </w:r>
    </w:p>
    <w:tbl>
      <w:tblPr>
        <w:tblStyle w:val="1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vAlign w:val="top"/>
          </w:tcPr>
          <w:p>
            <w:pPr>
              <w:keepNext w:val="0"/>
              <w:keepLines w:val="0"/>
              <w:pageBreakBefore w:val="0"/>
              <w:widowControl w:val="0"/>
              <w:kinsoku/>
              <w:wordWrap/>
              <w:overflowPunct/>
              <w:topLinePunct w:val="0"/>
              <w:autoSpaceDE/>
              <w:autoSpaceDN/>
              <w:bidi w:val="0"/>
              <w:snapToGrid/>
              <w:spacing w:beforeAutospacing="0" w:line="580" w:lineRule="exact"/>
              <w:ind w:left="0"/>
              <w:jc w:val="center"/>
              <w:textAlignment w:val="auto"/>
              <w:rPr>
                <w:rFonts w:ascii="仿宋" w:hAnsi="仿宋" w:eastAsia="仿宋" w:cs="仿宋"/>
                <w:b/>
                <w:color w:val="000000"/>
                <w:sz w:val="32"/>
                <w:szCs w:val="32"/>
                <w:u w:val="none" w:color="auto"/>
                <w:shd w:val="clear" w:color="auto" w:fill="auto"/>
              </w:rPr>
            </w:pPr>
            <w:bookmarkStart w:id="27" w:name="_Toc20002"/>
            <w:bookmarkEnd w:id="27"/>
            <w:bookmarkStart w:id="28" w:name="_Toc9848"/>
            <w:bookmarkEnd w:id="28"/>
            <w:r>
              <w:rPr>
                <w:rFonts w:hint="eastAsia" w:ascii="黑体" w:hAnsi="黑体" w:eastAsia="黑体" w:cs="黑体"/>
                <w:bCs/>
                <w:color w:val="000000"/>
                <w:sz w:val="32"/>
                <w:szCs w:val="32"/>
                <w:u w:val="none" w:color="auto"/>
                <w:shd w:val="clear" w:color="auto" w:fill="auto"/>
              </w:rPr>
              <w:t>专栏1  基层社会救助能力提升工程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4" w:type="dxa"/>
            <w:vAlign w:val="top"/>
          </w:tcPr>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textAlignment w:val="auto"/>
              <w:rPr>
                <w:rFonts w:hint="eastAsia" w:ascii="仿宋" w:hAnsi="仿宋" w:eastAsia="仿宋" w:cs="仿宋"/>
                <w:b/>
                <w:bCs/>
                <w:color w:val="000000"/>
                <w:sz w:val="28"/>
                <w:szCs w:val="28"/>
                <w:u w:val="none" w:color="auto"/>
                <w:shd w:val="clear" w:color="auto" w:fill="auto"/>
                <w:lang w:eastAsia="zh-CN"/>
              </w:rPr>
            </w:pPr>
            <w:r>
              <w:rPr>
                <w:rFonts w:hint="eastAsia" w:ascii="仿宋" w:hAnsi="仿宋" w:eastAsia="仿宋" w:cs="仿宋"/>
                <w:b/>
                <w:bCs/>
                <w:color w:val="000000"/>
                <w:sz w:val="28"/>
                <w:szCs w:val="28"/>
                <w:u w:val="none" w:color="auto"/>
                <w:shd w:val="clear" w:color="auto" w:fill="auto"/>
              </w:rPr>
              <w:t>1.提升基层社会救助经办服务能力</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整合社会救助资源，强化苏木乡镇（街道办事处）社会救助责任，提升保障条件。推动嘎查村级设立社会救助协理员，困难群众较多的嘎查村（社区）建立社会救助服务站（点），将走访、发现需要救助的困难群众列为嘎查村（社区）重要工作内容。加强政府购买社会救助服务，为有需要的困难群众提供主动发现和协助申请、资源链接、政策信息、心理调适、转办转介、社会融入等相关服务。优化社会救助程序，取消可通过政务服务平台查询的相关证明材料。持续畅通社会救助热线，逐步实现全区联通。</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hint="eastAsia"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2.完善流浪乞讨人员救助管理设施体系</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28"/>
                <w:szCs w:val="28"/>
                <w:u w:val="none" w:color="auto"/>
                <w:shd w:val="clear" w:color="auto" w:fill="auto"/>
              </w:rPr>
              <w:t>推动设施设备落后的盟市，以及尚无救助管理设施或人口密集、交通便利、省市交界、救助量大的旗县（市、区），新建或改扩建救助管理设施，配齐相关设施设备。充分利用现有社会福利设施建设流浪乞讨人员救助管理设施或救助管理站</w:t>
            </w:r>
            <w:r>
              <w:rPr>
                <w:rFonts w:hint="eastAsia" w:ascii="仿宋" w:hAnsi="仿宋" w:eastAsia="仿宋" w:cs="仿宋"/>
                <w:color w:val="000000"/>
                <w:sz w:val="28"/>
                <w:szCs w:val="28"/>
                <w:u w:val="none" w:color="auto"/>
                <w:shd w:val="clear" w:color="auto" w:fill="auto"/>
                <w:lang w:eastAsia="zh-CN"/>
              </w:rPr>
              <w:t>，</w:t>
            </w:r>
            <w:r>
              <w:rPr>
                <w:rFonts w:hint="eastAsia" w:ascii="仿宋" w:hAnsi="仿宋" w:eastAsia="仿宋" w:cs="仿宋"/>
                <w:color w:val="000000"/>
                <w:sz w:val="28"/>
                <w:szCs w:val="28"/>
                <w:u w:val="none" w:color="auto"/>
                <w:shd w:val="clear" w:color="auto" w:fill="auto"/>
              </w:rPr>
              <w:t>实现救助管理服务网络覆盖全部旗县（市、区）。</w:t>
            </w:r>
          </w:p>
        </w:tc>
      </w:tr>
    </w:tbl>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楷体" w:hAnsi="楷体" w:eastAsia="楷体" w:cs="楷体"/>
          <w:color w:val="000000"/>
          <w:sz w:val="32"/>
          <w:szCs w:val="32"/>
          <w:u w:val="none" w:color="auto"/>
          <w:shd w:val="clear" w:color="auto" w:fill="auto"/>
        </w:rPr>
      </w:pPr>
      <w:bookmarkStart w:id="29" w:name="_Toc4882"/>
      <w:bookmarkStart w:id="30" w:name="_Toc21706"/>
      <w:r>
        <w:rPr>
          <w:rFonts w:hint="eastAsia" w:ascii="楷体" w:hAnsi="楷体" w:eastAsia="楷体" w:cs="楷体"/>
          <w:color w:val="000000"/>
          <w:sz w:val="32"/>
          <w:szCs w:val="32"/>
          <w:u w:val="none" w:color="auto"/>
          <w:shd w:val="clear" w:color="auto" w:fill="auto"/>
        </w:rPr>
        <w:t xml:space="preserve">第三节 </w:t>
      </w:r>
      <w:r>
        <w:rPr>
          <w:rFonts w:hint="eastAsia" w:ascii="楷体" w:hAnsi="楷体" w:eastAsia="楷体" w:cs="楷体"/>
          <w:color w:val="000000"/>
          <w:sz w:val="32"/>
          <w:szCs w:val="32"/>
          <w:u w:val="none" w:color="auto"/>
          <w:shd w:val="clear" w:color="auto" w:fill="auto"/>
          <w:lang w:val="en-US" w:eastAsia="zh-CN"/>
        </w:rPr>
        <w:t xml:space="preserve"> </w:t>
      </w:r>
      <w:r>
        <w:rPr>
          <w:rFonts w:hint="eastAsia" w:ascii="楷体" w:hAnsi="楷体" w:eastAsia="楷体" w:cs="楷体"/>
          <w:color w:val="000000"/>
          <w:sz w:val="32"/>
          <w:szCs w:val="32"/>
          <w:u w:val="none" w:color="auto"/>
          <w:shd w:val="clear" w:color="auto" w:fill="auto"/>
        </w:rPr>
        <w:t>提升儿童福利保障水平</w:t>
      </w:r>
      <w:bookmarkEnd w:id="29"/>
      <w:bookmarkEnd w:id="30"/>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hint="eastAsia" w:ascii="仿宋" w:hAnsi="仿宋" w:eastAsia="仿宋"/>
          <w:color w:val="000000"/>
          <w:sz w:val="32"/>
          <w:szCs w:val="32"/>
          <w:u w:val="none" w:color="auto"/>
          <w:shd w:val="clear" w:color="auto" w:fill="auto"/>
        </w:rPr>
      </w:pPr>
      <w:r>
        <w:rPr>
          <w:rFonts w:hint="eastAsia" w:ascii="仿宋" w:hAnsi="仿宋" w:eastAsia="仿宋" w:cs="Mongolian Baiti"/>
          <w:b w:val="0"/>
          <w:color w:val="000000"/>
          <w:sz w:val="32"/>
          <w:szCs w:val="32"/>
          <w:u w:val="none" w:color="auto"/>
          <w:shd w:val="clear" w:color="auto" w:fill="auto"/>
        </w:rPr>
        <w:t>完善孤儿和事实无人抚养儿童保障机制</w:t>
      </w:r>
      <w:r>
        <w:rPr>
          <w:rFonts w:hint="eastAsia" w:ascii="仿宋" w:hAnsi="仿宋" w:eastAsia="仿宋" w:cs="Mongolian Baiti"/>
          <w:color w:val="000000"/>
          <w:sz w:val="32"/>
          <w:szCs w:val="32"/>
          <w:u w:val="none" w:color="auto"/>
          <w:shd w:val="clear" w:color="auto" w:fill="auto"/>
        </w:rPr>
        <w:t>。</w:t>
      </w:r>
      <w:r>
        <w:rPr>
          <w:rFonts w:hint="eastAsia" w:ascii="仿宋" w:hAnsi="仿宋" w:eastAsia="仿宋"/>
          <w:color w:val="000000"/>
          <w:sz w:val="32"/>
          <w:szCs w:val="32"/>
          <w:u w:val="none" w:color="auto"/>
          <w:shd w:val="clear" w:color="auto" w:fill="auto"/>
        </w:rPr>
        <w:t>建立与自治区经济社会发展相同步、与相关社会福利标准相衔接的孤儿、事实无人抚养儿童基本生活费补助标准以及孤儿、事实无人抚养儿童基本生活保障标准动态调整机制。</w:t>
      </w:r>
      <w:r>
        <w:rPr>
          <w:rFonts w:hint="eastAsia" w:ascii="仿宋" w:hAnsi="仿宋" w:eastAsia="仿宋"/>
          <w:color w:val="000000"/>
          <w:sz w:val="32"/>
          <w:szCs w:val="32"/>
          <w:u w:val="none" w:color="auto"/>
          <w:shd w:val="clear" w:color="auto" w:fill="auto"/>
          <w:lang w:eastAsia="zh-CN"/>
        </w:rPr>
        <w:t>推动</w:t>
      </w:r>
      <w:r>
        <w:rPr>
          <w:rFonts w:hint="eastAsia" w:ascii="仿宋" w:hAnsi="仿宋" w:eastAsia="仿宋"/>
          <w:color w:val="000000"/>
          <w:sz w:val="32"/>
          <w:szCs w:val="32"/>
          <w:u w:val="none" w:color="auto"/>
          <w:shd w:val="clear" w:color="auto" w:fill="auto"/>
        </w:rPr>
        <w:t>孤儿、事实无人抚养儿童保障实现全覆盖。</w:t>
      </w:r>
      <w:r>
        <w:rPr>
          <w:rFonts w:hint="eastAsia" w:ascii="仿宋" w:hAnsi="仿宋" w:eastAsia="仿宋"/>
          <w:color w:val="000000"/>
          <w:sz w:val="32"/>
          <w:szCs w:val="32"/>
          <w:u w:val="none" w:color="auto"/>
          <w:shd w:val="clear" w:color="auto" w:fill="auto"/>
          <w:lang w:eastAsia="zh-CN"/>
        </w:rPr>
        <w:t>旗</w:t>
      </w:r>
      <w:r>
        <w:rPr>
          <w:rFonts w:hint="eastAsia" w:ascii="仿宋" w:hAnsi="仿宋" w:eastAsia="仿宋"/>
          <w:color w:val="000000"/>
          <w:sz w:val="32"/>
          <w:szCs w:val="32"/>
          <w:u w:val="none" w:color="auto"/>
          <w:shd w:val="clear" w:color="auto" w:fill="auto"/>
        </w:rPr>
        <w:t>县级民政部门每季度对散居孤儿、事实无人抚养儿童实地探访率达到100％</w:t>
      </w:r>
      <w:r>
        <w:rPr>
          <w:rFonts w:hint="eastAsia" w:ascii="仿宋" w:hAnsi="仿宋" w:eastAsia="仿宋"/>
          <w:color w:val="000000"/>
          <w:sz w:val="32"/>
          <w:szCs w:val="32"/>
          <w:u w:val="none" w:color="auto"/>
          <w:shd w:val="clear" w:color="auto" w:fill="auto"/>
          <w:lang w:eastAsia="zh-CN"/>
        </w:rPr>
        <w:t>。</w:t>
      </w:r>
      <w:r>
        <w:rPr>
          <w:rFonts w:hint="eastAsia" w:ascii="仿宋" w:hAnsi="仿宋" w:eastAsia="仿宋"/>
          <w:color w:val="000000"/>
          <w:sz w:val="32"/>
          <w:szCs w:val="32"/>
          <w:u w:val="none" w:color="auto"/>
          <w:shd w:val="clear" w:color="auto" w:fill="auto"/>
        </w:rPr>
        <w:t>推动符合条件的事实无人抚养儿童集中养育，严格规范家庭寄养。孤儿和事实无人抚养儿童成年后，对符合城镇住房保障条件的，及时纳入保障范围。</w:t>
      </w:r>
    </w:p>
    <w:p>
      <w:pPr>
        <w:keepNext w:val="0"/>
        <w:keepLines w:val="0"/>
        <w:pageBreakBefore w:val="0"/>
        <w:kinsoku/>
        <w:wordWrap/>
        <w:overflowPunct/>
        <w:topLinePunct w:val="0"/>
        <w:autoSpaceDE/>
        <w:autoSpaceDN/>
        <w:bidi w:val="0"/>
        <w:spacing w:beforeAutospacing="0" w:line="580" w:lineRule="exact"/>
        <w:ind w:left="0" w:firstLine="640" w:firstLineChars="200"/>
        <w:textAlignment w:val="auto"/>
        <w:outlineLvl w:val="1"/>
        <w:rPr>
          <w:rFonts w:hint="eastAsia" w:ascii="仿宋" w:hAnsi="仿宋" w:eastAsia="仿宋" w:cs="仿宋"/>
          <w:color w:val="000000"/>
          <w:sz w:val="32"/>
          <w:szCs w:val="32"/>
          <w:u w:val="none" w:color="auto"/>
          <w:shd w:val="clear" w:color="auto" w:fill="auto"/>
        </w:rPr>
      </w:pPr>
      <w:r>
        <w:rPr>
          <w:rFonts w:hint="eastAsia" w:ascii="仿宋" w:hAnsi="仿宋" w:eastAsia="仿宋" w:cs="Mongolian Baiti"/>
          <w:b w:val="0"/>
          <w:color w:val="000000"/>
          <w:sz w:val="32"/>
          <w:szCs w:val="32"/>
          <w:u w:val="none" w:color="auto"/>
          <w:shd w:val="clear" w:color="auto" w:fill="auto"/>
        </w:rPr>
        <w:t>推进儿童福利机构优化提质。</w:t>
      </w:r>
      <w:r>
        <w:rPr>
          <w:rFonts w:hint="eastAsia" w:ascii="仿宋" w:hAnsi="仿宋" w:eastAsia="仿宋" w:cs="Mongolian Baiti"/>
          <w:color w:val="000000"/>
          <w:sz w:val="32"/>
          <w:szCs w:val="32"/>
          <w:u w:val="none" w:color="auto"/>
          <w:shd w:val="clear" w:color="auto" w:fill="auto"/>
        </w:rPr>
        <w:t>优化儿</w:t>
      </w:r>
      <w:r>
        <w:rPr>
          <w:rFonts w:hint="eastAsia" w:ascii="仿宋" w:hAnsi="仿宋" w:eastAsia="仿宋"/>
          <w:color w:val="000000"/>
          <w:sz w:val="32"/>
          <w:szCs w:val="32"/>
          <w:u w:val="none" w:color="auto"/>
          <w:shd w:val="clear" w:color="auto" w:fill="auto"/>
        </w:rPr>
        <w:t>童发展环境，合理满足区域内孤儿基本生活、教育、医疗、康复等需求。推进盟市儿童福利机构提质增效，在全区培育2家以上儿童福利机构高质量发展示范单位。支持儿童福利机构建造家庭式居所，推广家庭式养育模式。加强儿童福利机构与专业康复机构、医疗机构、特教机构合作，提高机构服务水平和儿童生活质量。鼓励有条件的儿童福利机构向社会残疾儿童拓展服务。大力培育发展专业化的评估和服务机构，每个旗县(市、区)培育和至少孵化1家具有专业水平的儿童福利类社会组织。会同有关部门，保障机构内适合就学的适龄残疾儿童全部接受教育并纳入学籍管理。推动儿童福利机构均达到定点康复机构标准，支持符合条件的</w:t>
      </w:r>
      <w:r>
        <w:rPr>
          <w:rFonts w:hint="eastAsia" w:ascii="仿宋" w:hAnsi="仿宋" w:eastAsia="仿宋"/>
          <w:color w:val="000000"/>
          <w:sz w:val="32"/>
          <w:szCs w:val="32"/>
          <w:u w:val="none" w:color="auto"/>
          <w:shd w:val="clear" w:color="auto" w:fill="auto"/>
          <w:lang w:eastAsia="zh-CN"/>
        </w:rPr>
        <w:t>机构</w:t>
      </w:r>
      <w:r>
        <w:rPr>
          <w:rFonts w:hint="eastAsia" w:ascii="仿宋" w:hAnsi="仿宋" w:eastAsia="仿宋"/>
          <w:color w:val="000000"/>
          <w:sz w:val="32"/>
          <w:szCs w:val="32"/>
          <w:u w:val="none" w:color="auto"/>
          <w:shd w:val="clear" w:color="auto" w:fill="auto"/>
        </w:rPr>
        <w:t>纳入残疾儿童康复救助定点机构目录。落实</w:t>
      </w:r>
      <w:r>
        <w:rPr>
          <w:rFonts w:hint="eastAsia" w:ascii="仿宋" w:hAnsi="仿宋" w:eastAsia="仿宋" w:cs="仿宋"/>
          <w:color w:val="000000"/>
          <w:sz w:val="32"/>
          <w:szCs w:val="32"/>
          <w:u w:val="none" w:color="auto"/>
          <w:shd w:val="clear" w:color="auto" w:fill="auto"/>
        </w:rPr>
        <w:t>上海市民政局与内蒙古自治区民政厅深化儿童福利领域交流合作协议，深化两地儿童福利领域交流合作。推进儿童福利机构标准化建设。</w:t>
      </w:r>
    </w:p>
    <w:tbl>
      <w:tblPr>
        <w:tblStyle w:val="15"/>
        <w:tblpPr w:leftFromText="180" w:rightFromText="180" w:vertAnchor="text" w:horzAnchor="page" w:tblpX="1832" w:tblpY="127"/>
        <w:tblOverlap w:val="never"/>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9174" w:type="dxa"/>
            <w:vAlign w:val="top"/>
          </w:tcPr>
          <w:p>
            <w:pPr>
              <w:keepNext w:val="0"/>
              <w:keepLines w:val="0"/>
              <w:pageBreakBefore w:val="0"/>
              <w:widowControl w:val="0"/>
              <w:kinsoku/>
              <w:wordWrap/>
              <w:overflowPunct/>
              <w:topLinePunct w:val="0"/>
              <w:autoSpaceDE/>
              <w:autoSpaceDN/>
              <w:bidi w:val="0"/>
              <w:adjustRightInd/>
              <w:snapToGrid/>
              <w:spacing w:beforeAutospacing="0" w:line="500" w:lineRule="exact"/>
              <w:ind w:left="0"/>
              <w:jc w:val="center"/>
              <w:textAlignment w:val="auto"/>
              <w:rPr>
                <w:rFonts w:ascii="仿宋" w:hAnsi="仿宋" w:eastAsia="仿宋" w:cs="仿宋"/>
                <w:b/>
                <w:color w:val="000000"/>
                <w:sz w:val="32"/>
                <w:szCs w:val="32"/>
                <w:u w:val="none" w:color="auto"/>
                <w:shd w:val="clear" w:color="auto" w:fill="auto"/>
              </w:rPr>
            </w:pPr>
            <w:r>
              <w:rPr>
                <w:rFonts w:hint="eastAsia" w:ascii="黑体" w:hAnsi="黑体" w:eastAsia="黑体" w:cs="黑体"/>
                <w:bCs/>
                <w:color w:val="000000"/>
                <w:sz w:val="32"/>
                <w:szCs w:val="32"/>
                <w:u w:val="none" w:color="auto"/>
                <w:shd w:val="clear" w:color="auto" w:fill="auto"/>
              </w:rPr>
              <w:t>专栏2  儿童福利服务工程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jc w:val="center"/>
        </w:trPr>
        <w:tc>
          <w:tcPr>
            <w:tcW w:w="9174" w:type="dxa"/>
            <w:vAlign w:val="top"/>
          </w:tcPr>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hint="eastAsia"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1.困境儿童关爱保护提升工程</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hint="eastAsia"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建立孤儿、事实无人抚养儿童基本生活费补助标准以及孤儿、事实无人抚养儿童基本生活保障标准动态调整机制。</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hint="eastAsia"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lang w:eastAsia="zh-CN"/>
              </w:rPr>
              <w:t>旗</w:t>
            </w:r>
            <w:r>
              <w:rPr>
                <w:rFonts w:hint="eastAsia" w:ascii="仿宋" w:hAnsi="仿宋" w:eastAsia="仿宋" w:cs="仿宋"/>
                <w:color w:val="000000"/>
                <w:sz w:val="28"/>
                <w:szCs w:val="28"/>
                <w:u w:val="none" w:color="auto"/>
                <w:shd w:val="clear" w:color="auto" w:fill="auto"/>
              </w:rPr>
              <w:t>县级民政部门每季度对散居孤儿、事实无人抚养儿童实地探访率达到100％，推动符合条件的事实无人抚养儿童集中养育。指导外出务工家长或其他监护人与留守儿童每周联系和交流不少于1次。</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hint="eastAsia"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2.儿童福利机构设施质量提升工程</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28"/>
                <w:szCs w:val="28"/>
                <w:u w:val="none" w:color="auto"/>
                <w:shd w:val="clear" w:color="auto" w:fill="auto"/>
              </w:rPr>
              <w:t>推进盟市儿童福利机构提质增效</w:t>
            </w:r>
            <w:r>
              <w:rPr>
                <w:rFonts w:hint="eastAsia" w:ascii="仿宋" w:hAnsi="仿宋" w:eastAsia="仿宋" w:cs="仿宋"/>
                <w:color w:val="000000"/>
                <w:sz w:val="28"/>
                <w:szCs w:val="28"/>
                <w:u w:val="none" w:color="auto"/>
                <w:shd w:val="clear" w:color="auto" w:fill="auto"/>
                <w:lang w:eastAsia="zh-CN"/>
              </w:rPr>
              <w:t>，</w:t>
            </w:r>
            <w:r>
              <w:rPr>
                <w:rFonts w:hint="eastAsia" w:ascii="仿宋" w:hAnsi="仿宋" w:eastAsia="仿宋" w:cs="仿宋"/>
                <w:color w:val="000000"/>
                <w:sz w:val="28"/>
                <w:szCs w:val="28"/>
                <w:u w:val="none" w:color="auto"/>
                <w:shd w:val="clear" w:color="auto" w:fill="auto"/>
              </w:rPr>
              <w:t>在全区培育2家以上儿童福利机构高质量发展示范单位，提高养育、医疗、康复、教育、社工服务专业化水平。大力培育发展专业化的评估和服务机构，每个旗县(市、区)培育和至少孵化1家具有专业水平的儿童福利类社会组织。</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313" w:afterLines="100" w:line="580" w:lineRule="exact"/>
        <w:ind w:leftChars="0"/>
        <w:jc w:val="center"/>
        <w:textAlignment w:val="auto"/>
        <w:outlineLvl w:val="1"/>
        <w:rPr>
          <w:rFonts w:hint="eastAsia" w:ascii="楷体" w:hAnsi="楷体" w:eastAsia="楷体" w:cs="楷体"/>
          <w:color w:val="000000"/>
          <w:u w:val="none" w:color="auto"/>
          <w:shd w:val="clear" w:color="auto" w:fill="auto"/>
        </w:rPr>
      </w:pPr>
      <w:bookmarkStart w:id="31" w:name="_Toc29384"/>
      <w:bookmarkStart w:id="32" w:name="_Toc16984"/>
      <w:r>
        <w:rPr>
          <w:rFonts w:hint="eastAsia" w:ascii="楷体" w:hAnsi="楷体" w:eastAsia="楷体" w:cs="楷体"/>
          <w:color w:val="000000"/>
          <w:u w:val="none" w:color="auto"/>
          <w:shd w:val="clear" w:color="auto" w:fill="auto"/>
          <w:lang w:eastAsia="zh-CN"/>
        </w:rPr>
        <w:t>第四节</w:t>
      </w:r>
      <w:r>
        <w:rPr>
          <w:rFonts w:hint="eastAsia" w:ascii="楷体" w:hAnsi="楷体" w:eastAsia="楷体" w:cs="楷体"/>
          <w:color w:val="000000"/>
          <w:u w:val="none" w:color="auto"/>
          <w:shd w:val="clear" w:color="auto" w:fill="auto"/>
          <w:lang w:val="en-US" w:eastAsia="zh-CN"/>
        </w:rPr>
        <w:t xml:space="preserve">  </w:t>
      </w:r>
      <w:r>
        <w:rPr>
          <w:rFonts w:hint="eastAsia" w:ascii="楷体" w:hAnsi="楷体" w:eastAsia="楷体" w:cs="楷体"/>
          <w:color w:val="000000"/>
          <w:u w:val="none" w:color="auto"/>
          <w:shd w:val="clear" w:color="auto" w:fill="auto"/>
        </w:rPr>
        <w:t>完善残疾人福利制度</w:t>
      </w:r>
      <w:bookmarkEnd w:id="31"/>
      <w:bookmarkEnd w:id="32"/>
    </w:p>
    <w:p>
      <w:pPr>
        <w:keepNext w:val="0"/>
        <w:keepLines w:val="0"/>
        <w:pageBreakBefore w:val="0"/>
        <w:widowControl w:val="0"/>
        <w:kinsoku/>
        <w:wordWrap/>
        <w:overflowPunct/>
        <w:topLinePunct w:val="0"/>
        <w:autoSpaceDE/>
        <w:autoSpaceDN/>
        <w:bidi w:val="0"/>
        <w:snapToGrid/>
        <w:spacing w:beforeAutospacing="0" w:line="580" w:lineRule="exact"/>
        <w:ind w:firstLine="640" w:firstLineChars="200"/>
        <w:textAlignment w:val="auto"/>
        <w:rPr>
          <w:rFonts w:ascii="仿宋" w:hAnsi="仿宋" w:eastAsia="仿宋" w:cs="仿宋"/>
          <w:color w:val="000000"/>
          <w:sz w:val="32"/>
          <w:szCs w:val="32"/>
          <w:u w:val="none" w:color="auto"/>
          <w:shd w:val="clear" w:color="auto" w:fill="auto"/>
        </w:rPr>
      </w:pPr>
      <w:bookmarkStart w:id="33" w:name="_Hlk59287261"/>
      <w:r>
        <w:rPr>
          <w:rFonts w:hint="eastAsia" w:ascii="仿宋" w:hAnsi="仿宋" w:eastAsia="仿宋" w:cs="仿宋"/>
          <w:b w:val="0"/>
          <w:bCs w:val="0"/>
          <w:color w:val="000000"/>
          <w:sz w:val="32"/>
          <w:szCs w:val="32"/>
          <w:u w:val="none" w:color="auto"/>
          <w:shd w:val="clear" w:color="auto" w:fill="auto"/>
        </w:rPr>
        <w:t>建立健全残疾人“两项补贴”动态调整机制</w:t>
      </w:r>
      <w:r>
        <w:rPr>
          <w:rFonts w:hint="eastAsia" w:ascii="仿宋" w:hAnsi="仿宋" w:eastAsia="仿宋" w:cs="仿宋"/>
          <w:color w:val="000000"/>
          <w:sz w:val="32"/>
          <w:szCs w:val="32"/>
          <w:u w:val="none" w:color="auto"/>
          <w:shd w:val="clear" w:color="auto" w:fill="auto"/>
        </w:rPr>
        <w:t>。建立困难残疾人生活补贴和重度残疾人护理补贴标准动态调整机制。加强残疾人两项补贴制度与</w:t>
      </w:r>
      <w:r>
        <w:rPr>
          <w:rFonts w:hint="eastAsia" w:ascii="仿宋" w:hAnsi="仿宋" w:eastAsia="仿宋" w:cs="仿宋"/>
          <w:color w:val="000000"/>
          <w:sz w:val="32"/>
          <w:szCs w:val="32"/>
          <w:u w:val="none" w:color="auto"/>
          <w:shd w:val="clear" w:color="auto" w:fill="auto"/>
          <w:lang w:eastAsia="zh-CN"/>
        </w:rPr>
        <w:t>其他</w:t>
      </w:r>
      <w:r>
        <w:rPr>
          <w:rFonts w:hint="eastAsia" w:ascii="仿宋" w:hAnsi="仿宋" w:eastAsia="仿宋" w:cs="仿宋"/>
          <w:color w:val="000000"/>
          <w:sz w:val="32"/>
          <w:szCs w:val="32"/>
          <w:u w:val="none" w:color="auto"/>
          <w:shd w:val="clear" w:color="auto" w:fill="auto"/>
        </w:rPr>
        <w:t>残疾人保障相关制度</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护理补贴与长期护理保险制度</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老年人福利、生活补贴与最低生活保障等社会救助制度的有效衔接。逐步把困难残疾人生活补贴覆盖至低保边缘家庭和其他困难残疾人，重度残疾人护理补贴覆盖至三、四级的智力和精神残疾人。积极推进残疾人“两项补贴”资格认定申请跨省通办，为残疾人提供更加贴心暖心的服务。鼓励有条件的地区探索新的补贴内容和形式。</w:t>
      </w:r>
      <w:bookmarkEnd w:id="33"/>
    </w:p>
    <w:p>
      <w:pPr>
        <w:pStyle w:val="2"/>
        <w:keepNext w:val="0"/>
        <w:keepLines w:val="0"/>
        <w:pageBreakBefore w:val="0"/>
        <w:widowControl w:val="0"/>
        <w:kinsoku/>
        <w:wordWrap/>
        <w:overflowPunct/>
        <w:topLinePunct w:val="0"/>
        <w:autoSpaceDE/>
        <w:autoSpaceDN/>
        <w:bidi w:val="0"/>
        <w:snapToGrid/>
        <w:spacing w:before="0" w:beforeAutospacing="0" w:after="0" w:line="580" w:lineRule="exact"/>
        <w:ind w:left="0" w:firstLine="643"/>
        <w:textAlignment w:val="auto"/>
        <w:rPr>
          <w:rFonts w:cs="仿宋"/>
          <w:color w:val="000000"/>
          <w:u w:val="none" w:color="auto"/>
          <w:shd w:val="clear" w:color="auto" w:fill="auto"/>
        </w:rPr>
      </w:pPr>
      <w:r>
        <w:rPr>
          <w:rFonts w:hint="eastAsia" w:hAnsi="仿宋" w:cs="仿宋"/>
          <w:b w:val="0"/>
          <w:bCs w:val="0"/>
          <w:color w:val="000000"/>
          <w:u w:val="none" w:color="auto"/>
          <w:shd w:val="clear" w:color="auto" w:fill="auto"/>
          <w:lang w:bidi="mn-Mong-CN"/>
        </w:rPr>
        <w:t>推进民政精神卫生福利设施建设。</w:t>
      </w:r>
      <w:r>
        <w:rPr>
          <w:rFonts w:hint="eastAsia" w:cs="仿宋"/>
          <w:color w:val="000000"/>
          <w:u w:val="none" w:color="auto"/>
          <w:shd w:val="clear" w:color="auto" w:fill="auto"/>
        </w:rPr>
        <w:t>围绕特殊困难精神障碍患者救治、基本生活、安全、康复及相关服务等需要，指导呼和浩特市、通辽市、赤峰市、锡林郭勒盟、乌兰察布市、巴彦淖尔市6所精神卫生福利机构规范化运营</w:t>
      </w:r>
      <w:r>
        <w:rPr>
          <w:rFonts w:hint="eastAsia" w:cs="仿宋"/>
          <w:color w:val="000000"/>
          <w:u w:val="none" w:color="auto"/>
          <w:shd w:val="clear" w:color="auto" w:fill="auto"/>
          <w:lang w:eastAsia="zh-CN"/>
        </w:rPr>
        <w:t>。</w:t>
      </w:r>
      <w:r>
        <w:rPr>
          <w:rFonts w:hint="eastAsia" w:cs="仿宋"/>
          <w:color w:val="000000"/>
          <w:u w:val="none" w:color="auto"/>
          <w:shd w:val="clear" w:color="auto" w:fill="auto"/>
        </w:rPr>
        <w:t>鼓励有需求的盟市或人口较多的旗县（市</w:t>
      </w:r>
      <w:r>
        <w:rPr>
          <w:rFonts w:hint="eastAsia" w:cs="仿宋"/>
          <w:color w:val="000000"/>
          <w:u w:val="none" w:color="auto"/>
          <w:shd w:val="clear" w:color="auto" w:fill="auto"/>
          <w:lang w:eastAsia="zh-CN"/>
        </w:rPr>
        <w:t>、</w:t>
      </w:r>
      <w:r>
        <w:rPr>
          <w:rFonts w:hint="eastAsia" w:cs="仿宋"/>
          <w:color w:val="000000"/>
          <w:u w:val="none" w:color="auto"/>
          <w:shd w:val="clear" w:color="auto" w:fill="auto"/>
        </w:rPr>
        <w:t>区）建设民政精神卫生福利机构，充分发挥民政精神卫生福利设施的兜底保障作用，积极引导和鼓励社会力量参与精神卫生福利设施建设和运营。</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Calibri" w:eastAsia="仿宋" w:cs="仿宋"/>
          <w:b w:val="0"/>
          <w:bCs w:val="0"/>
          <w:color w:val="000000"/>
          <w:sz w:val="32"/>
          <w:szCs w:val="32"/>
          <w:u w:val="none" w:color="auto"/>
          <w:shd w:val="clear" w:color="auto" w:fill="auto"/>
          <w:lang w:bidi="ar-SA"/>
        </w:rPr>
        <w:t>加快精神障碍康复服务向社区发展。</w:t>
      </w:r>
      <w:r>
        <w:rPr>
          <w:rFonts w:hint="eastAsia" w:ascii="仿宋" w:hAnsi="Calibri" w:eastAsia="仿宋" w:cs="仿宋"/>
          <w:color w:val="000000"/>
          <w:sz w:val="32"/>
          <w:szCs w:val="32"/>
          <w:u w:val="none" w:color="auto"/>
          <w:shd w:val="clear" w:color="auto" w:fill="auto"/>
          <w:lang w:bidi="ar-SA"/>
        </w:rPr>
        <w:t>发</w:t>
      </w:r>
      <w:r>
        <w:rPr>
          <w:rFonts w:hint="eastAsia" w:ascii="仿宋" w:hAnsi="仿宋" w:eastAsia="仿宋" w:cs="仿宋"/>
          <w:color w:val="000000"/>
          <w:sz w:val="32"/>
          <w:szCs w:val="32"/>
          <w:u w:val="none" w:color="auto"/>
          <w:shd w:val="clear" w:color="auto" w:fill="auto"/>
        </w:rPr>
        <w:t>挥精神卫生专业机构技术指导作用，推动社区精神障碍康复机构与精神卫生福利、残疾人康复、残疾人托养、社区卫生服务等机构服务对接、场地共用、资源共享，培育一批社区精神障碍康复标杆机构，发挥示范引领作用，形成经验在全区推广，逐步将社区精神障碍康复机构打造成康复服务网络中的重要节点。支持社会力量参与社区精神障碍康复机构建设</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鼓励有条件的地区在服务设施、运行补贴、职称待遇等方面给予扶持，将居家康复、照护技能培训纳入精神障碍社区康复基本服务范围，为家庭提供照护资讯、政策咨询、情感支持等专业服务，巩固和增强家庭照护功能，促进家庭成为精神障碍社区康复服务体系的重要力量和资源。广泛开展精神障碍康复进社区服务，让居家患者接受社区康复服务。</w:t>
      </w:r>
    </w:p>
    <w:tbl>
      <w:tblPr>
        <w:tblStyle w:val="14"/>
        <w:tblpPr w:leftFromText="180" w:rightFromText="180" w:vertAnchor="text" w:horzAnchor="page" w:tblpXSpec="center" w:tblpY="87"/>
        <w:tblOverlap w:val="never"/>
        <w:tblW w:w="87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8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535" w:hRule="atLeast"/>
          <w:jc w:val="center"/>
        </w:trPr>
        <w:tc>
          <w:tcPr>
            <w:tcW w:w="874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line="460" w:lineRule="exact"/>
              <w:ind w:left="0"/>
              <w:jc w:val="center"/>
              <w:textAlignment w:val="auto"/>
              <w:rPr>
                <w:rFonts w:ascii="仿宋" w:hAnsi="仿宋" w:eastAsia="仿宋" w:cs="仿宋"/>
                <w:color w:val="000000"/>
                <w:kern w:val="0"/>
                <w:sz w:val="32"/>
                <w:szCs w:val="32"/>
                <w:u w:val="none" w:color="auto"/>
                <w:shd w:val="clear" w:color="auto" w:fill="auto"/>
              </w:rPr>
            </w:pPr>
            <w:r>
              <w:rPr>
                <w:rFonts w:hint="eastAsia" w:ascii="黑体" w:hAnsi="黑体" w:eastAsia="黑体" w:cs="黑体"/>
                <w:bCs/>
                <w:color w:val="000000"/>
                <w:sz w:val="32"/>
                <w:szCs w:val="32"/>
                <w:u w:val="none" w:color="auto"/>
                <w:shd w:val="clear" w:color="auto" w:fill="auto"/>
              </w:rPr>
              <w:t>专栏3  精神卫生福利设施建设工程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00" w:hRule="atLeast"/>
          <w:jc w:val="center"/>
        </w:trPr>
        <w:tc>
          <w:tcPr>
            <w:tcW w:w="8746"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1.精神卫生福利设施建设</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b/>
                <w:bCs/>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鼓励有需求的盟市或人口较多的旗县（市</w:t>
            </w:r>
            <w:r>
              <w:rPr>
                <w:rFonts w:hint="eastAsia" w:ascii="仿宋" w:hAnsi="仿宋" w:eastAsia="仿宋" w:cs="仿宋"/>
                <w:color w:val="000000"/>
                <w:sz w:val="28"/>
                <w:szCs w:val="28"/>
                <w:u w:val="none" w:color="auto"/>
                <w:shd w:val="clear" w:color="auto" w:fill="auto"/>
                <w:lang w:eastAsia="zh-CN"/>
              </w:rPr>
              <w:t>、</w:t>
            </w:r>
            <w:r>
              <w:rPr>
                <w:rFonts w:hint="eastAsia" w:ascii="仿宋" w:hAnsi="仿宋" w:eastAsia="仿宋" w:cs="仿宋"/>
                <w:color w:val="000000"/>
                <w:sz w:val="28"/>
                <w:szCs w:val="28"/>
                <w:u w:val="none" w:color="auto"/>
                <w:shd w:val="clear" w:color="auto" w:fill="auto"/>
              </w:rPr>
              <w:t>区）建设民政精神卫生福利机构，充分发挥民政精神卫生福利设施的兜底保障作用，积极引导和鼓励社会力量参与精神卫生福利设施建设和运营。</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2.精神障碍康复服务进社区</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b/>
                <w:bCs/>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广泛开展精神障碍康复进社区服务，让居家患者接受社区康复服务。</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beforeAutospacing="0" w:line="580" w:lineRule="exact"/>
        <w:ind w:left="0" w:leftChars="0" w:firstLine="0" w:firstLineChars="0"/>
        <w:jc w:val="center"/>
        <w:textAlignment w:val="auto"/>
        <w:outlineLvl w:val="0"/>
        <w:rPr>
          <w:rFonts w:hint="eastAsia" w:ascii="黑体" w:hAnsi="黑体" w:eastAsia="黑体" w:cs="黑体"/>
          <w:color w:val="000000"/>
          <w:sz w:val="32"/>
          <w:szCs w:val="32"/>
          <w:u w:val="none" w:color="auto"/>
          <w:shd w:val="clear" w:color="auto" w:fill="auto"/>
        </w:rPr>
      </w:pPr>
      <w:bookmarkStart w:id="34" w:name="_Toc12637"/>
      <w:r>
        <w:rPr>
          <w:rFonts w:hint="eastAsia" w:ascii="黑体" w:hAnsi="黑体" w:eastAsia="黑体" w:cs="黑体"/>
          <w:color w:val="000000"/>
          <w:sz w:val="32"/>
          <w:szCs w:val="32"/>
          <w:u w:val="none" w:color="auto"/>
          <w:shd w:val="clear" w:color="auto" w:fill="auto"/>
          <w:lang w:val="en-US" w:eastAsia="zh-CN"/>
        </w:rPr>
        <w:t xml:space="preserve"> </w:t>
      </w:r>
      <w:r>
        <w:rPr>
          <w:rFonts w:hint="eastAsia" w:ascii="黑体" w:hAnsi="黑体" w:eastAsia="黑体" w:cs="黑体"/>
          <w:color w:val="000000"/>
          <w:sz w:val="32"/>
          <w:szCs w:val="32"/>
          <w:u w:val="none" w:color="auto"/>
          <w:shd w:val="clear" w:color="auto" w:fill="auto"/>
        </w:rPr>
        <w:t>构建基层社会治理新格局，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80" w:lineRule="exact"/>
        <w:ind w:leftChars="0"/>
        <w:jc w:val="center"/>
        <w:textAlignment w:val="auto"/>
        <w:outlineLvl w:val="0"/>
        <w:rPr>
          <w:rFonts w:hint="eastAsia" w:ascii="黑体" w:hAnsi="黑体" w:eastAsia="黑体" w:cs="黑体"/>
          <w:color w:val="000000"/>
          <w:sz w:val="32"/>
          <w:szCs w:val="32"/>
          <w:u w:val="none" w:color="auto"/>
          <w:shd w:val="clear" w:color="auto" w:fill="auto"/>
        </w:rPr>
      </w:pPr>
      <w:r>
        <w:rPr>
          <w:rFonts w:hint="eastAsia" w:ascii="黑体" w:hAnsi="黑体" w:eastAsia="黑体" w:cs="黑体"/>
          <w:color w:val="000000"/>
          <w:sz w:val="32"/>
          <w:szCs w:val="32"/>
          <w:u w:val="none" w:color="auto"/>
          <w:shd w:val="clear" w:color="auto" w:fill="auto"/>
        </w:rPr>
        <w:t>提升群众参与能力和水平</w:t>
      </w:r>
      <w:bookmarkEnd w:id="34"/>
    </w:p>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textAlignment w:val="auto"/>
      </w:pPr>
    </w:p>
    <w:bookmarkEnd w:id="12"/>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firstLine="632" w:firstLineChars="200"/>
        <w:textAlignment w:val="auto"/>
        <w:rPr>
          <w:rFonts w:hint="eastAsia" w:cs="仿宋"/>
          <w:color w:val="000000"/>
          <w:spacing w:val="-2"/>
          <w:u w:val="none" w:color="auto"/>
          <w:shd w:val="clear" w:color="auto" w:fill="auto"/>
        </w:rPr>
      </w:pPr>
      <w:bookmarkStart w:id="35" w:name="_Toc22771"/>
      <w:bookmarkStart w:id="36" w:name="_Toc25017"/>
      <w:r>
        <w:rPr>
          <w:rFonts w:hint="eastAsia" w:cs="仿宋"/>
          <w:color w:val="000000"/>
          <w:spacing w:val="-2"/>
          <w:u w:val="none" w:color="auto"/>
          <w:shd w:val="clear" w:color="auto" w:fill="auto"/>
        </w:rPr>
        <w:t>夯实基层社会治理基础，强化城乡社区治理和服务体系建设</w:t>
      </w:r>
      <w:r>
        <w:rPr>
          <w:rFonts w:hint="eastAsia" w:cs="仿宋"/>
          <w:color w:val="000000"/>
          <w:spacing w:val="-2"/>
          <w:u w:val="none" w:color="auto"/>
          <w:shd w:val="clear" w:color="auto" w:fill="auto"/>
          <w:lang w:val="en-US" w:eastAsia="zh-CN"/>
        </w:rPr>
        <w:t>,</w:t>
      </w:r>
      <w:r>
        <w:rPr>
          <w:rFonts w:hint="eastAsia" w:cs="仿宋"/>
          <w:color w:val="000000"/>
          <w:spacing w:val="-2"/>
          <w:u w:val="none" w:color="auto"/>
          <w:shd w:val="clear" w:color="auto" w:fill="auto"/>
        </w:rPr>
        <w:t>更好发挥社会组织在社会治理中的作用</w:t>
      </w:r>
      <w:r>
        <w:rPr>
          <w:rFonts w:hint="eastAsia" w:cs="仿宋"/>
          <w:color w:val="000000"/>
          <w:spacing w:val="-2"/>
          <w:u w:val="none" w:color="auto"/>
          <w:shd w:val="clear" w:color="auto" w:fill="auto"/>
          <w:lang w:val="en-US" w:eastAsia="zh-CN"/>
        </w:rPr>
        <w:t>,</w:t>
      </w:r>
      <w:r>
        <w:rPr>
          <w:rFonts w:hint="eastAsia" w:cs="仿宋"/>
          <w:color w:val="000000"/>
          <w:spacing w:val="-2"/>
          <w:u w:val="none" w:color="auto"/>
          <w:shd w:val="clear" w:color="auto" w:fill="auto"/>
        </w:rPr>
        <w:t>畅通社会工作者和志愿者参与社会治理的途径，完善群众参与基层治理的制度化渠道，发展慈善事业，优化行政区划设置</w:t>
      </w:r>
      <w:r>
        <w:rPr>
          <w:rFonts w:hint="eastAsia" w:cs="仿宋"/>
          <w:color w:val="000000"/>
          <w:spacing w:val="-2"/>
          <w:u w:val="none" w:color="auto"/>
          <w:shd w:val="clear" w:color="auto" w:fill="auto"/>
          <w:lang w:val="en-US" w:eastAsia="zh-CN"/>
        </w:rPr>
        <w:t>,</w:t>
      </w:r>
      <w:r>
        <w:rPr>
          <w:rFonts w:hint="eastAsia" w:cs="仿宋"/>
          <w:color w:val="000000"/>
          <w:spacing w:val="-2"/>
          <w:u w:val="none" w:color="auto"/>
          <w:shd w:val="clear" w:color="auto" w:fill="auto"/>
        </w:rPr>
        <w:t>推动建设人人有责、人人尽责、人人享有的基层社会治理共同体。</w:t>
      </w:r>
    </w:p>
    <w:p>
      <w:pPr>
        <w:keepNext w:val="0"/>
        <w:keepLines w:val="0"/>
        <w:pageBreakBefore w:val="0"/>
        <w:widowControl w:val="0"/>
        <w:numPr>
          <w:ilvl w:val="0"/>
          <w:numId w:val="5"/>
        </w:numPr>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楷体" w:hAnsi="楷体" w:eastAsia="楷体" w:cs="楷体"/>
          <w:color w:val="000000"/>
          <w:sz w:val="32"/>
          <w:szCs w:val="32"/>
          <w:u w:val="none" w:color="auto"/>
          <w:shd w:val="clear" w:color="auto" w:fill="auto"/>
        </w:rPr>
      </w:pPr>
      <w:bookmarkStart w:id="37" w:name="_Toc14699"/>
      <w:r>
        <w:rPr>
          <w:rFonts w:hint="eastAsia" w:ascii="楷体" w:hAnsi="楷体" w:eastAsia="楷体" w:cs="楷体"/>
          <w:color w:val="000000"/>
          <w:sz w:val="32"/>
          <w:szCs w:val="32"/>
          <w:u w:val="none" w:color="auto"/>
          <w:shd w:val="clear" w:color="auto" w:fill="auto"/>
        </w:rPr>
        <w:t>夯实基层社会治理基础</w:t>
      </w:r>
      <w:bookmarkEnd w:id="37"/>
    </w:p>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firstLine="643"/>
        <w:textAlignment w:val="auto"/>
        <w:rPr>
          <w:rFonts w:cs="仿宋"/>
          <w:strike/>
          <w:color w:val="000000"/>
          <w:u w:val="none" w:color="auto"/>
          <w:shd w:val="clear" w:color="auto" w:fill="auto"/>
        </w:rPr>
      </w:pPr>
      <w:r>
        <w:rPr>
          <w:rFonts w:hint="eastAsia" w:cs="仿宋"/>
          <w:b w:val="0"/>
          <w:color w:val="000000"/>
          <w:spacing w:val="-2"/>
          <w:u w:val="none" w:color="auto"/>
          <w:shd w:val="clear" w:color="auto" w:fill="auto"/>
        </w:rPr>
        <w:t>完善党领导的基层群众自治制度</w:t>
      </w:r>
      <w:r>
        <w:rPr>
          <w:rFonts w:hint="eastAsia" w:cs="仿宋"/>
          <w:color w:val="000000"/>
          <w:spacing w:val="-2"/>
          <w:u w:val="none" w:color="auto"/>
          <w:shd w:val="clear" w:color="auto" w:fill="auto"/>
        </w:rPr>
        <w:t>。</w:t>
      </w:r>
      <w:r>
        <w:rPr>
          <w:rFonts w:hint="eastAsia" w:cs="仿宋"/>
          <w:color w:val="000000"/>
          <w:spacing w:val="-2"/>
          <w:kern w:val="2"/>
          <w:u w:val="none" w:color="auto"/>
          <w:shd w:val="clear" w:color="auto" w:fill="auto"/>
        </w:rPr>
        <w:t>进</w:t>
      </w:r>
      <w:r>
        <w:rPr>
          <w:rFonts w:hint="eastAsia" w:cs="仿宋"/>
          <w:color w:val="000000"/>
          <w:kern w:val="0"/>
          <w:u w:val="none" w:color="auto"/>
          <w:shd w:val="clear" w:color="auto" w:fill="auto"/>
        </w:rPr>
        <w:t>一步规范村（居）民委员会民主选举程序，全面落实嘎查村（社区）“两委”班子成员资格联审机制，依法选优配强嘎查村（社区）“两委”班子。</w:t>
      </w:r>
      <w:r>
        <w:rPr>
          <w:rFonts w:hint="eastAsia" w:cs="仿宋"/>
          <w:color w:val="000000"/>
          <w:u w:val="none" w:color="auto"/>
          <w:shd w:val="clear" w:color="auto" w:fill="auto"/>
        </w:rPr>
        <w:t>研究完善基层群众性自治组织特别法人相关制</w:t>
      </w:r>
      <w:r>
        <w:rPr>
          <w:rFonts w:hint="eastAsia" w:cs="仿宋"/>
          <w:color w:val="000000"/>
          <w:kern w:val="0"/>
          <w:u w:val="none" w:color="auto"/>
          <w:shd w:val="clear" w:color="auto" w:fill="auto"/>
        </w:rPr>
        <w:t>度和基层群众性自治组织出具证明的规范化制度，加强基层群众性自治组织规范化建设，切实减轻基层负担。加强嘎查村（居）</w:t>
      </w:r>
      <w:r>
        <w:rPr>
          <w:rFonts w:hint="eastAsia" w:cs="仿宋"/>
          <w:color w:val="000000"/>
          <w:u w:val="none" w:color="auto"/>
          <w:shd w:val="clear" w:color="auto" w:fill="auto"/>
        </w:rPr>
        <w:t>务监督委员会建设，落实嘎查村（居）务公开制度。</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32" w:firstLineChars="200"/>
        <w:textAlignment w:val="auto"/>
        <w:rPr>
          <w:rFonts w:ascii="仿宋" w:hAnsi="仿宋" w:eastAsia="仿宋" w:cs="仿宋"/>
          <w:color w:val="000000"/>
          <w:sz w:val="32"/>
          <w:szCs w:val="32"/>
          <w:u w:val="none" w:color="auto"/>
          <w:shd w:val="clear" w:color="auto" w:fill="auto"/>
        </w:rPr>
      </w:pPr>
      <w:r>
        <w:rPr>
          <w:rFonts w:hint="eastAsia" w:ascii="仿宋" w:hAnsi="Calibri" w:eastAsia="仿宋" w:cs="仿宋"/>
          <w:b w:val="0"/>
          <w:color w:val="000000"/>
          <w:spacing w:val="-2"/>
          <w:sz w:val="32"/>
          <w:szCs w:val="32"/>
          <w:u w:val="none" w:color="auto"/>
          <w:shd w:val="clear" w:color="auto" w:fill="auto"/>
          <w:lang w:bidi="ar-SA"/>
        </w:rPr>
        <w:t>拓宽群众参与基层治理的制度化渠道</w:t>
      </w:r>
      <w:r>
        <w:rPr>
          <w:rFonts w:hint="eastAsia" w:ascii="仿宋" w:hAnsi="Calibri" w:eastAsia="仿宋" w:cs="仿宋"/>
          <w:color w:val="000000"/>
          <w:spacing w:val="-2"/>
          <w:sz w:val="32"/>
          <w:szCs w:val="32"/>
          <w:u w:val="none" w:color="auto"/>
          <w:shd w:val="clear" w:color="auto" w:fill="auto"/>
          <w:lang w:bidi="ar-SA"/>
        </w:rPr>
        <w:t>。健</w:t>
      </w:r>
      <w:r>
        <w:rPr>
          <w:rFonts w:hint="eastAsia" w:ascii="仿宋" w:hAnsi="仿宋" w:eastAsia="仿宋" w:cs="仿宋"/>
          <w:color w:val="000000"/>
          <w:sz w:val="32"/>
          <w:szCs w:val="32"/>
          <w:u w:val="none" w:color="auto"/>
          <w:shd w:val="clear" w:color="auto" w:fill="auto"/>
        </w:rPr>
        <w:t>全城乡社区协商制度，积极探索建立苏木乡镇（街道）协商与城乡社区协商的联动机制，开展城乡社区议事协商工作，抓好协商成果督促落实。不断丰富村（居）民参与公共事项决策的有效形式，积极探索外来人口参与基层群众自治工作机制。推动嘎查村（社区）村规民约（居民公约）全覆盖，建立动态调整机制。配合开展民主法治示范村（社区）创建、农村人居环境改造等工作，调动群众广泛参与爱国卫生运动，不断推进基层治理改革创新。</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jc w:val="both"/>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深化苏木乡镇服务能力建设和管理创新</w:t>
      </w:r>
      <w:r>
        <w:rPr>
          <w:rFonts w:hint="eastAsia" w:ascii="仿宋" w:hAnsi="仿宋" w:eastAsia="仿宋" w:cs="仿宋"/>
          <w:color w:val="000000"/>
          <w:sz w:val="32"/>
          <w:szCs w:val="32"/>
          <w:u w:val="none" w:color="auto"/>
          <w:shd w:val="clear" w:color="auto" w:fill="auto"/>
        </w:rPr>
        <w:t>。强化苏木乡镇对辖区内各类公共服务的监督管理职能，建立街乡与部门之间有效协调机制。推进苏木乡镇一站式服务中心或便民服务、一体化在线政务服务平台建设全覆盖。</w:t>
      </w:r>
    </w:p>
    <w:p>
      <w:pPr>
        <w:pStyle w:val="2"/>
        <w:keepNext w:val="0"/>
        <w:keepLines w:val="0"/>
        <w:pageBreakBefore w:val="0"/>
        <w:widowControl w:val="0"/>
        <w:kinsoku/>
        <w:wordWrap/>
        <w:overflowPunct/>
        <w:topLinePunct w:val="0"/>
        <w:autoSpaceDE/>
        <w:autoSpaceDN/>
        <w:bidi w:val="0"/>
        <w:snapToGrid/>
        <w:spacing w:before="0" w:beforeAutospacing="0" w:after="0" w:line="580" w:lineRule="exact"/>
        <w:ind w:left="0"/>
        <w:textAlignment w:val="auto"/>
        <w:rPr>
          <w:rFonts w:cs="仿宋"/>
          <w:color w:val="000000"/>
          <w:u w:val="none" w:color="auto"/>
          <w:shd w:val="clear" w:color="auto" w:fill="auto"/>
        </w:rPr>
      </w:pP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313" w:afterLines="100" w:line="580" w:lineRule="exact"/>
        <w:ind w:left="0" w:firstLine="658"/>
        <w:jc w:val="center"/>
        <w:textAlignment w:val="auto"/>
        <w:outlineLvl w:val="1"/>
        <w:rPr>
          <w:rFonts w:ascii="楷体" w:hAnsi="楷体" w:eastAsia="楷体" w:cs="楷体"/>
          <w:bCs/>
          <w:color w:val="000000"/>
          <w:sz w:val="32"/>
          <w:szCs w:val="32"/>
          <w:u w:val="none" w:color="auto"/>
          <w:shd w:val="clear" w:color="auto" w:fill="auto"/>
        </w:rPr>
      </w:pPr>
      <w:bookmarkStart w:id="38" w:name="_Toc27999"/>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深化城乡社区服务体系建设</w:t>
      </w:r>
      <w:bookmarkEnd w:id="38"/>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jc w:val="left"/>
        <w:textAlignment w:val="auto"/>
        <w:rPr>
          <w:rFonts w:ascii="仿宋" w:hAnsi="仿宋" w:eastAsia="仿宋" w:cs="仿宋"/>
          <w:bCs/>
          <w:color w:val="000000"/>
          <w:kern w:val="0"/>
          <w:sz w:val="32"/>
          <w:szCs w:val="32"/>
          <w:u w:val="none" w:color="auto"/>
          <w:shd w:val="clear" w:color="auto" w:fill="auto"/>
          <w:lang w:bidi="mn-Mong-CN"/>
        </w:rPr>
      </w:pPr>
      <w:r>
        <w:rPr>
          <w:rFonts w:hint="eastAsia" w:ascii="仿宋" w:hAnsi="仿宋" w:eastAsia="仿宋" w:cs="仿宋"/>
          <w:b w:val="0"/>
          <w:color w:val="000000"/>
          <w:sz w:val="32"/>
          <w:szCs w:val="32"/>
          <w:u w:val="none" w:color="auto"/>
          <w:shd w:val="clear" w:color="auto" w:fill="auto"/>
        </w:rPr>
        <w:t>扩大和优化城乡社区服务供给</w:t>
      </w:r>
      <w:r>
        <w:rPr>
          <w:rFonts w:hint="eastAsia" w:ascii="仿宋" w:hAnsi="仿宋" w:eastAsia="仿宋" w:cs="仿宋"/>
          <w:color w:val="000000"/>
          <w:sz w:val="32"/>
          <w:szCs w:val="32"/>
          <w:u w:val="none" w:color="auto"/>
          <w:shd w:val="clear" w:color="auto" w:fill="auto"/>
        </w:rPr>
        <w:t>。推动</w:t>
      </w:r>
      <w:r>
        <w:rPr>
          <w:rFonts w:hint="eastAsia" w:ascii="仿宋" w:hAnsi="仿宋" w:eastAsia="仿宋" w:cs="仿宋"/>
          <w:color w:val="000000"/>
          <w:sz w:val="32"/>
          <w:szCs w:val="32"/>
          <w:u w:val="none" w:color="auto"/>
          <w:shd w:val="clear" w:color="auto" w:fill="auto"/>
          <w:lang w:eastAsia="zh-CN"/>
        </w:rPr>
        <w:t>将</w:t>
      </w:r>
      <w:r>
        <w:rPr>
          <w:rFonts w:hint="eastAsia" w:ascii="仿宋" w:hAnsi="仿宋" w:eastAsia="仿宋" w:cs="仿宋"/>
          <w:color w:val="000000"/>
          <w:sz w:val="32"/>
          <w:szCs w:val="32"/>
          <w:u w:val="none" w:color="auto"/>
          <w:shd w:val="clear" w:color="auto" w:fill="auto"/>
        </w:rPr>
        <w:t>社区服务体系建设纳入国民经济和社会发展规划、国土空间规划和新型城镇化建设工程。规范城乡社区公共服务和代办政务服务事项，推动资源、管理、服务向城乡社区下沉，发挥基层党组织整合资源服务群众作用，提升城乡社区服务供给能力。</w:t>
      </w:r>
      <w:r>
        <w:rPr>
          <w:rFonts w:hint="eastAsia" w:ascii="仿宋" w:hAnsi="仿宋" w:eastAsia="仿宋" w:cs="仿宋"/>
          <w:bCs/>
          <w:color w:val="000000"/>
          <w:kern w:val="0"/>
          <w:sz w:val="32"/>
          <w:szCs w:val="32"/>
          <w:u w:val="none" w:color="auto"/>
          <w:shd w:val="clear" w:color="auto" w:fill="auto"/>
          <w:lang w:bidi="mn-Mong-CN"/>
        </w:rPr>
        <w:t>开展“新时代新社区新生活”服务质量提升行动，创建社区治理创新实验区。推动社区生活服务设施建设，深化社区便民惠民服务。创新城乡社区公共服务提供方式，全面推进政府购买社区服务机制建设，普遍建立政府购买社区服务清单。培育发展社区服务业</w:t>
      </w:r>
      <w:r>
        <w:rPr>
          <w:rFonts w:hint="eastAsia" w:ascii="仿宋" w:hAnsi="仿宋" w:eastAsia="仿宋" w:cs="仿宋"/>
          <w:color w:val="000000"/>
          <w:sz w:val="32"/>
          <w:szCs w:val="32"/>
          <w:u w:val="none" w:color="auto"/>
          <w:shd w:val="clear" w:color="auto" w:fill="auto"/>
        </w:rPr>
        <w:t>，</w:t>
      </w:r>
      <w:r>
        <w:rPr>
          <w:rFonts w:hint="eastAsia" w:ascii="仿宋" w:hAnsi="仿宋" w:eastAsia="仿宋" w:cs="仿宋"/>
          <w:bCs/>
          <w:color w:val="000000"/>
          <w:kern w:val="0"/>
          <w:sz w:val="32"/>
          <w:szCs w:val="32"/>
          <w:u w:val="none" w:color="auto"/>
          <w:shd w:val="clear" w:color="auto" w:fill="auto"/>
          <w:lang w:bidi="mn-Mong-CN"/>
        </w:rPr>
        <w:t>扶持一批具有较强专业性和信誉度的社区服务机构，强化政府引导，支持社会组织、社会工作专业人才、志愿服务组织提供专业化、个性化城乡社区服务。建立社区服务供求对接机制，提升基层群众性自治组织对接社区服务需求和供给资源的能力和水平。</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jc w:val="both"/>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缩小城乡社区服务差距</w:t>
      </w:r>
      <w:r>
        <w:rPr>
          <w:rFonts w:hint="eastAsia" w:ascii="仿宋" w:hAnsi="仿宋" w:eastAsia="仿宋" w:cs="仿宋"/>
          <w:color w:val="000000"/>
          <w:sz w:val="32"/>
          <w:szCs w:val="32"/>
          <w:u w:val="none" w:color="auto"/>
          <w:shd w:val="clear" w:color="auto" w:fill="auto"/>
        </w:rPr>
        <w:t>。坚持城乡融合发展，推动城市公共服务资源和慈善、社会工作资源向农村牧区，特别是易地扶贫搬迁集中安置社区及生态移民搬迁安置社区等辐射延伸，推进城乡社区基本公共服务均等化。促进乡村治理与公共服务联动，构建苏木乡镇（街道）、村</w:t>
      </w:r>
      <w:r>
        <w:rPr>
          <w:rFonts w:hint="eastAsia" w:ascii="仿宋" w:hAnsi="仿宋" w:eastAsia="仿宋" w:cs="仿宋"/>
          <w:color w:val="000000"/>
          <w:sz w:val="32"/>
          <w:szCs w:val="32"/>
          <w:u w:val="none" w:color="auto"/>
          <w:shd w:val="clear" w:color="auto" w:fill="auto"/>
          <w:lang w:eastAsia="zh-CN"/>
        </w:rPr>
        <w:t>（居）</w:t>
      </w:r>
      <w:r>
        <w:rPr>
          <w:rFonts w:hint="eastAsia" w:ascii="仿宋" w:hAnsi="仿宋" w:eastAsia="仿宋" w:cs="仿宋"/>
          <w:color w:val="000000"/>
          <w:sz w:val="32"/>
          <w:szCs w:val="32"/>
          <w:u w:val="none" w:color="auto"/>
          <w:shd w:val="clear" w:color="auto" w:fill="auto"/>
        </w:rPr>
        <w:t>民委员会、村集体经济组织和社会组织、村</w:t>
      </w:r>
      <w:r>
        <w:rPr>
          <w:rFonts w:hint="eastAsia" w:ascii="仿宋" w:hAnsi="仿宋" w:eastAsia="仿宋" w:cs="仿宋"/>
          <w:color w:val="000000"/>
          <w:sz w:val="32"/>
          <w:szCs w:val="32"/>
          <w:u w:val="none" w:color="auto"/>
          <w:shd w:val="clear" w:color="auto" w:fill="auto"/>
          <w:lang w:eastAsia="zh-CN"/>
        </w:rPr>
        <w:t>（居）</w:t>
      </w:r>
      <w:r>
        <w:rPr>
          <w:rFonts w:hint="eastAsia" w:ascii="仿宋" w:hAnsi="仿宋" w:eastAsia="仿宋" w:cs="仿宋"/>
          <w:color w:val="000000"/>
          <w:sz w:val="32"/>
          <w:szCs w:val="32"/>
          <w:u w:val="none" w:color="auto"/>
          <w:shd w:val="clear" w:color="auto" w:fill="auto"/>
        </w:rPr>
        <w:t>民等主体共同参与的服务格局。</w:t>
      </w:r>
    </w:p>
    <w:p>
      <w:pPr>
        <w:keepNext w:val="0"/>
        <w:keepLines w:val="0"/>
        <w:pageBreakBefore w:val="0"/>
        <w:kinsoku/>
        <w:wordWrap/>
        <w:overflowPunct/>
        <w:topLinePunct w:val="0"/>
        <w:autoSpaceDE/>
        <w:autoSpaceDN/>
        <w:bidi w:val="0"/>
        <w:spacing w:beforeAutospacing="0" w:line="580" w:lineRule="exact"/>
        <w:ind w:left="0" w:firstLine="640" w:firstLineChars="200"/>
        <w:jc w:val="both"/>
        <w:textAlignment w:val="auto"/>
        <w:rPr>
          <w:rFonts w:hint="eastAsia"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加强城乡社区工作者队伍建设</w:t>
      </w:r>
      <w:r>
        <w:rPr>
          <w:rFonts w:hint="eastAsia" w:ascii="仿宋" w:hAnsi="仿宋" w:eastAsia="仿宋" w:cs="仿宋"/>
          <w:color w:val="000000"/>
          <w:sz w:val="32"/>
          <w:szCs w:val="32"/>
          <w:u w:val="none" w:color="auto"/>
          <w:shd w:val="clear" w:color="auto" w:fill="auto"/>
        </w:rPr>
        <w:t>。持续推进社区工作者职业体系建设，建立健全与岗位特点、工作年限、教育程度、专业水平匹配的社区工作者岗位等级序列，建立社区工作者薪酬体系和待遇正常增长机制，健全完善参加社会保险和缴存住房公积金制度。探索从优秀社区工作者中培养党员、选拔基层干部，推荐党代表、人大代表、政协委员和劳动模范等制度渠道。落实从城乡社区工作人员中培育典型和表彰激励机制。建立健全城乡社区工作者分级培训制度，支持社区工作者参加社会工作职业资格评价和学历教育等。实施大学生社工计划，引导高校毕业生到社区就业创业。推动实现每万名城镇常住人口拥有社区工作者18人。</w:t>
      </w:r>
    </w:p>
    <w:bookmarkEnd w:id="35"/>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leftChars="0" w:firstLine="0" w:firstLineChars="0"/>
        <w:jc w:val="center"/>
        <w:textAlignment w:val="auto"/>
        <w:outlineLvl w:val="1"/>
        <w:rPr>
          <w:rFonts w:ascii="楷体" w:hAnsi="楷体" w:eastAsia="楷体" w:cs="楷体"/>
          <w:color w:val="000000"/>
          <w:u w:val="none" w:color="auto"/>
          <w:shd w:val="clear" w:color="auto" w:fill="auto"/>
        </w:rPr>
      </w:pPr>
      <w:bookmarkStart w:id="39" w:name="_Toc19167"/>
      <w:bookmarkStart w:id="40" w:name="_Toc4577"/>
      <w:r>
        <w:rPr>
          <w:rFonts w:hint="eastAsia" w:ascii="楷体" w:hAnsi="楷体" w:eastAsia="楷体" w:cs="楷体"/>
          <w:color w:val="000000"/>
          <w:u w:val="none" w:color="auto"/>
          <w:shd w:val="clear" w:color="auto" w:fill="auto"/>
        </w:rPr>
        <w:t>第三节</w:t>
      </w:r>
      <w:r>
        <w:rPr>
          <w:rFonts w:hint="eastAsia" w:ascii="楷体" w:hAnsi="楷体" w:eastAsia="楷体" w:cs="楷体"/>
          <w:color w:val="000000"/>
          <w:u w:val="none" w:color="auto"/>
          <w:shd w:val="clear" w:color="auto" w:fill="auto"/>
          <w:lang w:val="en-US" w:eastAsia="zh-CN"/>
        </w:rPr>
        <w:t xml:space="preserve"> </w:t>
      </w:r>
      <w:r>
        <w:rPr>
          <w:rFonts w:hint="eastAsia" w:ascii="楷体" w:hAnsi="楷体" w:eastAsia="楷体" w:cs="楷体"/>
          <w:color w:val="000000"/>
          <w:u w:val="none" w:color="auto"/>
          <w:shd w:val="clear" w:color="auto" w:fill="auto"/>
        </w:rPr>
        <w:t xml:space="preserve"> 推动社会组织健康有序发展</w:t>
      </w:r>
      <w:bookmarkEnd w:id="39"/>
    </w:p>
    <w:p>
      <w:pPr>
        <w:pStyle w:val="16"/>
        <w:keepNext w:val="0"/>
        <w:keepLines w:val="0"/>
        <w:pageBreakBefore w:val="0"/>
        <w:widowControl w:val="0"/>
        <w:kinsoku/>
        <w:wordWrap/>
        <w:overflowPunct/>
        <w:topLinePunct w:val="0"/>
        <w:autoSpaceDE/>
        <w:autoSpaceDN/>
        <w:bidi w:val="0"/>
        <w:snapToGrid/>
        <w:spacing w:beforeAutospacing="0" w:line="580" w:lineRule="exact"/>
        <w:ind w:left="0" w:firstLine="636" w:firstLineChars="199"/>
        <w:textAlignment w:val="auto"/>
        <w:rPr>
          <w:rFonts w:ascii="仿宋" w:hAnsi="仿宋" w:eastAsia="仿宋" w:cs="仿宋"/>
          <w:b/>
          <w:bCs/>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加强社会组织党的建设</w:t>
      </w:r>
      <w:r>
        <w:rPr>
          <w:rFonts w:hint="eastAsia" w:ascii="仿宋" w:hAnsi="仿宋" w:eastAsia="仿宋" w:cs="仿宋"/>
          <w:color w:val="000000"/>
          <w:sz w:val="32"/>
          <w:szCs w:val="32"/>
          <w:u w:val="none" w:color="auto"/>
          <w:shd w:val="clear" w:color="auto" w:fill="auto"/>
        </w:rPr>
        <w:t>。</w:t>
      </w:r>
      <w:r>
        <w:rPr>
          <w:rFonts w:hint="eastAsia" w:ascii="仿宋" w:hAnsi="仿宋" w:eastAsia="仿宋" w:cs="仿宋"/>
          <w:bCs w:val="0"/>
          <w:color w:val="000000"/>
          <w:sz w:val="32"/>
          <w:szCs w:val="32"/>
          <w:u w:val="none" w:color="auto"/>
          <w:shd w:val="clear" w:color="auto" w:fill="auto"/>
        </w:rPr>
        <w:t>全面</w:t>
      </w:r>
      <w:r>
        <w:rPr>
          <w:rFonts w:hint="eastAsia" w:ascii="仿宋" w:hAnsi="仿宋" w:eastAsia="仿宋" w:cs="仿宋"/>
          <w:bCs/>
          <w:color w:val="000000"/>
          <w:sz w:val="32"/>
          <w:szCs w:val="32"/>
          <w:u w:val="none" w:color="auto"/>
          <w:shd w:val="clear" w:color="auto" w:fill="auto"/>
        </w:rPr>
        <w:t>落实党建工作与登记、年检（年报）、评估“三同步”制度，按照应建尽建原则，持续推进社会组织</w:t>
      </w:r>
      <w:r>
        <w:rPr>
          <w:rFonts w:hint="eastAsia" w:ascii="仿宋" w:hAnsi="仿宋" w:eastAsia="仿宋" w:cs="仿宋"/>
          <w:bCs/>
          <w:color w:val="000000"/>
          <w:sz w:val="32"/>
          <w:szCs w:val="32"/>
          <w:u w:val="none" w:color="auto"/>
          <w:shd w:val="clear" w:color="auto" w:fill="auto"/>
          <w:lang w:eastAsia="zh-CN"/>
        </w:rPr>
        <w:t>中</w:t>
      </w:r>
      <w:r>
        <w:rPr>
          <w:rFonts w:hint="eastAsia" w:ascii="仿宋" w:hAnsi="仿宋" w:eastAsia="仿宋" w:cs="仿宋"/>
          <w:bCs/>
          <w:color w:val="000000"/>
          <w:sz w:val="32"/>
          <w:szCs w:val="32"/>
          <w:u w:val="none" w:color="auto"/>
          <w:shd w:val="clear" w:color="auto" w:fill="auto"/>
        </w:rPr>
        <w:t>党的组织和党的工作从“有形覆盖”向“有效覆盖”转化。</w:t>
      </w:r>
      <w:r>
        <w:rPr>
          <w:rFonts w:hint="eastAsia" w:ascii="仿宋" w:hAnsi="仿宋" w:eastAsia="仿宋" w:cs="仿宋"/>
          <w:color w:val="000000"/>
          <w:sz w:val="32"/>
          <w:szCs w:val="32"/>
          <w:u w:val="none" w:color="auto"/>
          <w:shd w:val="clear" w:color="auto" w:fill="auto"/>
        </w:rPr>
        <w:t>加强对与行政机关脱钩的社会组织党建工作的领导，做到脱钩不脱管</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加强对社会组织负责人人选审核把关，选优配强社会组织党组织书记，鼓励党员社会组织负责人和党组织书记交叉任职</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加大在社会组织负责人、业务骨干中培养、发展党员力度</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分级分层抓好社会组织党务工作者培训工作，坚持党建引领社会组织高质量发展。</w:t>
      </w:r>
    </w:p>
    <w:p>
      <w:pPr>
        <w:pStyle w:val="16"/>
        <w:keepNext w:val="0"/>
        <w:keepLines w:val="0"/>
        <w:pageBreakBefore w:val="0"/>
        <w:widowControl w:val="0"/>
        <w:kinsoku/>
        <w:wordWrap/>
        <w:overflowPunct/>
        <w:topLinePunct w:val="0"/>
        <w:autoSpaceDE/>
        <w:autoSpaceDN/>
        <w:bidi w:val="0"/>
        <w:snapToGrid/>
        <w:spacing w:beforeAutospacing="0" w:line="580" w:lineRule="exact"/>
        <w:ind w:left="0" w:firstLine="636" w:firstLineChars="199"/>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深化社会组织领域改革</w:t>
      </w:r>
      <w:r>
        <w:rPr>
          <w:rFonts w:hint="eastAsia" w:ascii="仿宋" w:hAnsi="仿宋" w:eastAsia="仿宋" w:cs="仿宋"/>
          <w:color w:val="000000"/>
          <w:sz w:val="32"/>
          <w:szCs w:val="32"/>
          <w:u w:val="none" w:color="auto"/>
          <w:shd w:val="clear" w:color="auto" w:fill="auto"/>
        </w:rPr>
        <w:t>。完善直接登记和双重主管负责登记管理体制，坚持政治标准，把握发展重点，对行业协会商会类、科技类、公益慈善类、城乡社区服务类社会组织实行直接登记。认真开展行业协会商会与行政机关脱钩改革“回头看”，进一步完善脱钩后行业协会商会综合监管体制，落实相关部门监管责任，巩固脱钩改革成效。按照明确、清晰、聚焦主</w:t>
      </w:r>
      <w:r>
        <w:rPr>
          <w:rFonts w:hint="eastAsia" w:ascii="仿宋" w:hAnsi="仿宋" w:eastAsia="仿宋" w:cs="仿宋"/>
          <w:bCs/>
          <w:color w:val="000000"/>
          <w:sz w:val="32"/>
          <w:szCs w:val="32"/>
          <w:u w:val="none" w:color="auto"/>
          <w:shd w:val="clear" w:color="auto" w:fill="auto"/>
        </w:rPr>
        <w:t>业原则，</w:t>
      </w:r>
      <w:r>
        <w:rPr>
          <w:rFonts w:hint="eastAsia" w:ascii="仿宋" w:hAnsi="仿宋" w:eastAsia="仿宋" w:cs="仿宋"/>
          <w:color w:val="000000"/>
          <w:sz w:val="32"/>
          <w:szCs w:val="32"/>
          <w:u w:val="none" w:color="auto"/>
          <w:shd w:val="clear" w:color="auto" w:fill="auto"/>
        </w:rPr>
        <w:t>加强名称审核、业务范围审定，严格社会组织发起人和拟任负责人的背景核查和资格审查，严格控制党政机关干部兼任社会组织职务，完善征求部门意见和组织专家评估机制，把好社会组织“入口关”。建立服务承诺制度，优化审批流程，压缩审批时限，简化审批手续，实现自治区本级、盟市、旗县（</w:t>
      </w:r>
      <w:r>
        <w:rPr>
          <w:rFonts w:hint="eastAsia" w:ascii="仿宋" w:hAnsi="仿宋" w:eastAsia="仿宋" w:cs="仿宋"/>
          <w:color w:val="000000"/>
          <w:sz w:val="32"/>
          <w:szCs w:val="32"/>
          <w:u w:val="none" w:color="auto"/>
          <w:shd w:val="clear" w:color="auto" w:fill="auto"/>
          <w:lang w:eastAsia="zh-CN"/>
        </w:rPr>
        <w:t>市、</w:t>
      </w:r>
      <w:r>
        <w:rPr>
          <w:rFonts w:hint="eastAsia" w:ascii="仿宋" w:hAnsi="仿宋" w:eastAsia="仿宋" w:cs="仿宋"/>
          <w:color w:val="000000"/>
          <w:sz w:val="32"/>
          <w:szCs w:val="32"/>
          <w:u w:val="none" w:color="auto"/>
          <w:shd w:val="clear" w:color="auto" w:fill="auto"/>
        </w:rPr>
        <w:t>区）社会组织登记管理事项“一网通办”，优化社会组织审批服务。</w:t>
      </w:r>
    </w:p>
    <w:p>
      <w:pPr>
        <w:pStyle w:val="16"/>
        <w:keepNext w:val="0"/>
        <w:keepLines w:val="0"/>
        <w:pageBreakBefore w:val="0"/>
        <w:widowControl w:val="0"/>
        <w:kinsoku/>
        <w:wordWrap/>
        <w:overflowPunct/>
        <w:topLinePunct w:val="0"/>
        <w:autoSpaceDE/>
        <w:autoSpaceDN/>
        <w:bidi w:val="0"/>
        <w:snapToGrid/>
        <w:spacing w:beforeAutospacing="0" w:line="580" w:lineRule="exact"/>
        <w:ind w:left="0" w:firstLine="636" w:firstLineChars="199"/>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提升社会组织服务能力。</w:t>
      </w:r>
      <w:r>
        <w:rPr>
          <w:rFonts w:hint="eastAsia" w:ascii="仿宋" w:hAnsi="仿宋" w:eastAsia="仿宋" w:cs="仿宋"/>
          <w:color w:val="000000"/>
          <w:sz w:val="32"/>
          <w:szCs w:val="32"/>
          <w:u w:val="none" w:color="auto"/>
          <w:shd w:val="clear" w:color="auto" w:fill="auto"/>
        </w:rPr>
        <w:t>指导社会组织完善法人治理结构和运行机制，以及党组织参与社会组织重大问题决策等制度安排，完善会员大会（会员代表大会）、理事会、监事会制度，</w:t>
      </w:r>
      <w:r>
        <w:rPr>
          <w:rFonts w:hint="eastAsia" w:ascii="仿宋" w:hAnsi="仿宋" w:eastAsia="仿宋" w:cs="仿宋"/>
          <w:color w:val="000000"/>
          <w:sz w:val="32"/>
          <w:szCs w:val="32"/>
          <w:u w:val="none" w:color="auto"/>
          <w:shd w:val="clear" w:color="auto" w:fill="auto"/>
          <w:lang w:eastAsia="zh-CN"/>
        </w:rPr>
        <w:t>使其</w:t>
      </w:r>
      <w:r>
        <w:rPr>
          <w:rFonts w:hint="eastAsia" w:ascii="仿宋" w:hAnsi="仿宋" w:eastAsia="仿宋" w:cs="仿宋"/>
          <w:color w:val="000000"/>
          <w:kern w:val="0"/>
          <w:sz w:val="32"/>
          <w:szCs w:val="32"/>
          <w:u w:val="none" w:color="auto"/>
          <w:shd w:val="clear" w:color="auto" w:fill="auto"/>
        </w:rPr>
        <w:t>成为权责明确、运转协调、制衡有效的法人主体，独立承担法律责任。推动社会组织建立健全内部纠纷解决机制，推行社会组织人民调解制度，提升解决自身问题的能力。会同财政、税务部门完善并落实非营利组织优惠政策，</w:t>
      </w:r>
      <w:r>
        <w:rPr>
          <w:rFonts w:hint="eastAsia" w:ascii="仿宋" w:hAnsi="仿宋" w:eastAsia="仿宋" w:cs="仿宋"/>
          <w:color w:val="000000"/>
          <w:sz w:val="32"/>
          <w:szCs w:val="32"/>
          <w:u w:val="none" w:color="auto"/>
          <w:shd w:val="clear" w:color="auto" w:fill="auto"/>
        </w:rPr>
        <w:t>积极协调相关部门将职业资格认定、业务评估、行业数据统计、信息采集等事务性管理工作转移给有条件的社会组织承担。</w:t>
      </w:r>
      <w:r>
        <w:rPr>
          <w:rFonts w:hint="eastAsia" w:ascii="仿宋" w:hAnsi="仿宋" w:eastAsia="仿宋" w:cs="仿宋"/>
          <w:color w:val="000000"/>
          <w:kern w:val="0"/>
          <w:sz w:val="32"/>
          <w:szCs w:val="32"/>
          <w:u w:val="none" w:color="auto"/>
          <w:shd w:val="clear" w:color="auto" w:fill="auto"/>
        </w:rPr>
        <w:t>逐步扩大政府向社会组织购买服务的范围和规模，增强社会组织造血功能，提升服务能力。对民生保障、社会治理、行业管理等公共服务项目，同</w:t>
      </w:r>
      <w:r>
        <w:rPr>
          <w:rFonts w:hint="eastAsia" w:ascii="仿宋" w:hAnsi="仿宋" w:eastAsia="仿宋" w:cs="仿宋"/>
          <w:color w:val="000000"/>
          <w:spacing w:val="-6"/>
          <w:kern w:val="0"/>
          <w:sz w:val="32"/>
          <w:szCs w:val="32"/>
          <w:u w:val="none" w:color="auto"/>
          <w:shd w:val="clear" w:color="auto" w:fill="auto"/>
        </w:rPr>
        <w:t>等条件下优先向社会组织购买</w:t>
      </w:r>
      <w:r>
        <w:rPr>
          <w:rFonts w:hint="eastAsia" w:ascii="仿宋" w:hAnsi="仿宋" w:eastAsia="仿宋" w:cs="仿宋"/>
          <w:color w:val="000000"/>
          <w:spacing w:val="-6"/>
          <w:sz w:val="32"/>
          <w:szCs w:val="32"/>
          <w:u w:val="none" w:color="auto"/>
          <w:shd w:val="clear" w:color="auto" w:fill="auto"/>
        </w:rPr>
        <w:t>。认真落实民政部《2021-2023年社区社会组织专项行动方案》，将培育发展社区社会组织纳入民政工作综合评估、民政事业统计，推动纳入相关部门平安建设考核指标，鼓励苏木乡镇</w:t>
      </w:r>
      <w:r>
        <w:rPr>
          <w:rFonts w:hint="eastAsia" w:ascii="仿宋" w:hAnsi="仿宋" w:eastAsia="仿宋" w:cs="仿宋"/>
          <w:color w:val="000000"/>
          <w:spacing w:val="-6"/>
          <w:sz w:val="32"/>
          <w:szCs w:val="32"/>
          <w:u w:val="none" w:color="auto"/>
          <w:shd w:val="clear" w:color="auto" w:fill="auto"/>
          <w:lang w:eastAsia="zh-CN"/>
        </w:rPr>
        <w:t>（</w:t>
      </w:r>
      <w:r>
        <w:rPr>
          <w:rFonts w:hint="eastAsia" w:ascii="仿宋" w:hAnsi="仿宋" w:eastAsia="仿宋" w:cs="仿宋"/>
          <w:color w:val="000000"/>
          <w:spacing w:val="-6"/>
          <w:sz w:val="32"/>
          <w:szCs w:val="32"/>
          <w:u w:val="none" w:color="auto"/>
          <w:shd w:val="clear" w:color="auto" w:fill="auto"/>
        </w:rPr>
        <w:t>街道</w:t>
      </w:r>
      <w:r>
        <w:rPr>
          <w:rFonts w:hint="eastAsia" w:ascii="仿宋" w:hAnsi="仿宋" w:eastAsia="仿宋" w:cs="仿宋"/>
          <w:color w:val="000000"/>
          <w:spacing w:val="-6"/>
          <w:sz w:val="32"/>
          <w:szCs w:val="32"/>
          <w:u w:val="none" w:color="auto"/>
          <w:shd w:val="clear" w:color="auto" w:fill="auto"/>
          <w:lang w:eastAsia="zh-CN"/>
        </w:rPr>
        <w:t>）</w:t>
      </w:r>
      <w:r>
        <w:rPr>
          <w:rFonts w:hint="eastAsia" w:ascii="仿宋" w:hAnsi="仿宋" w:eastAsia="仿宋" w:cs="仿宋"/>
          <w:color w:val="000000"/>
          <w:spacing w:val="-6"/>
          <w:sz w:val="32"/>
          <w:szCs w:val="32"/>
          <w:u w:val="none" w:color="auto"/>
          <w:shd w:val="clear" w:color="auto" w:fill="auto"/>
        </w:rPr>
        <w:t>建设社会组织孵化基地，大力培育孵化社区社会组织。深入开展优秀社会组织和优秀社会组织从业人员评比表彰活动，营造争先创优的良好氛围。</w:t>
      </w:r>
    </w:p>
    <w:p>
      <w:pPr>
        <w:pStyle w:val="16"/>
        <w:keepNext w:val="0"/>
        <w:keepLines w:val="0"/>
        <w:pageBreakBefore w:val="0"/>
        <w:widowControl w:val="0"/>
        <w:kinsoku/>
        <w:wordWrap/>
        <w:overflowPunct/>
        <w:topLinePunct w:val="0"/>
        <w:autoSpaceDE/>
        <w:autoSpaceDN/>
        <w:bidi w:val="0"/>
        <w:adjustRightInd/>
        <w:snapToGrid/>
        <w:spacing w:beforeAutospacing="0" w:line="580" w:lineRule="exact"/>
        <w:ind w:left="0" w:firstLine="636" w:firstLineChars="199"/>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健全社会组织综合监管体系。</w:t>
      </w:r>
      <w:r>
        <w:rPr>
          <w:rFonts w:hint="eastAsia" w:ascii="仿宋" w:hAnsi="仿宋" w:eastAsia="仿宋" w:cs="仿宋"/>
          <w:color w:val="000000"/>
          <w:sz w:val="32"/>
          <w:szCs w:val="32"/>
          <w:u w:val="none" w:color="auto"/>
          <w:shd w:val="clear" w:color="auto" w:fill="auto"/>
        </w:rPr>
        <w:t>推动盟市、旗县</w:t>
      </w:r>
      <w:r>
        <w:rPr>
          <w:rFonts w:hint="eastAsia" w:ascii="仿宋" w:hAnsi="仿宋" w:eastAsia="仿宋" w:cs="仿宋"/>
          <w:color w:val="000000"/>
          <w:sz w:val="32"/>
          <w:szCs w:val="32"/>
          <w:u w:val="none" w:color="auto"/>
          <w:shd w:val="clear" w:color="auto" w:fill="auto"/>
          <w:lang w:eastAsia="zh-CN"/>
        </w:rPr>
        <w:t>（市、区）</w:t>
      </w:r>
      <w:r>
        <w:rPr>
          <w:rFonts w:hint="eastAsia" w:ascii="仿宋" w:hAnsi="仿宋" w:eastAsia="仿宋" w:cs="仿宋"/>
          <w:color w:val="000000"/>
          <w:sz w:val="32"/>
          <w:szCs w:val="32"/>
          <w:u w:val="none" w:color="auto"/>
          <w:shd w:val="clear" w:color="auto" w:fill="auto"/>
        </w:rPr>
        <w:t>建立社会组织工作协调机制，构建登记管理机关、业务主管单位、党建工作机构、行业管理部门、相关职能部门各司其职、相互配合、依法监管的综合管理体制，形成监管合力。加强对社会组织举办重大活动、涉企收费、对外投资、资金往来的管理，制定出台社会组织举办评比达标表彰及节庆论坛展会等活动管理办法，规范社会组织行为，防范化解社会组织风险。深入开展社会组织年度检查、等级评估、双随机执法检查、信用信息管理等工作，创新监管方式，推动联合惩戒，严肃查处不接受登记管理、超业务范围开展活动、违规收费、强制入会等违法违规活动，清理“僵尸”社会组织，严厉打击非法社会组织，推进社会组织依法运作、自律发展。</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41" w:name="_Toc27960"/>
      <w:r>
        <w:rPr>
          <w:rFonts w:hint="eastAsia" w:ascii="楷体" w:hAnsi="楷体" w:eastAsia="楷体" w:cs="楷体"/>
          <w:bCs/>
          <w:color w:val="000000"/>
          <w:sz w:val="32"/>
          <w:szCs w:val="32"/>
          <w:u w:val="none" w:color="auto"/>
          <w:shd w:val="clear" w:color="auto" w:fill="auto"/>
        </w:rPr>
        <w:t>第四节</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 xml:space="preserve"> 健全现代社会工作制度</w:t>
      </w:r>
      <w:bookmarkEnd w:id="41"/>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highlight w:val="yellow"/>
          <w:u w:val="none" w:color="auto"/>
          <w:shd w:val="clear" w:color="auto" w:fill="auto"/>
        </w:rPr>
      </w:pPr>
      <w:r>
        <w:rPr>
          <w:rFonts w:hint="eastAsia" w:ascii="仿宋" w:hAnsi="仿宋" w:eastAsia="仿宋" w:cs="仿宋"/>
          <w:b w:val="0"/>
          <w:color w:val="000000"/>
          <w:sz w:val="32"/>
          <w:szCs w:val="32"/>
          <w:u w:val="none" w:color="auto"/>
          <w:shd w:val="clear" w:color="auto" w:fill="auto"/>
        </w:rPr>
        <w:t>建立基层社会工作服务体系。</w:t>
      </w:r>
      <w:r>
        <w:rPr>
          <w:rFonts w:hint="eastAsia" w:ascii="仿宋" w:hAnsi="仿宋" w:eastAsia="仿宋" w:cs="仿宋"/>
          <w:color w:val="000000"/>
          <w:sz w:val="32"/>
          <w:szCs w:val="32"/>
          <w:u w:val="none" w:color="auto"/>
          <w:shd w:val="clear" w:color="auto" w:fill="auto"/>
        </w:rPr>
        <w:t>健全党委领导、政府负责、群团助推、社会协同、公众参与的社会工作统筹协调机制，形成分工协作、齐抓共管、高效顺畅的工作格局。制定加强基层社会工作站建设相关政策措施，建立旗县（市、区）、苏木乡镇（街道）、城乡社区三级社会工作服务体系，按照“有场地、有设备、有人员、有服务功能、有工作流程、有规章制度”的标准，搭建枢纽型、立体型、综合型的社会工作服务平台，实现苏木乡镇（街道）社会工作服务站基本覆盖。</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6"/>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提升社会工作服务机构能力。</w:t>
      </w:r>
      <w:r>
        <w:rPr>
          <w:rFonts w:hint="eastAsia" w:ascii="仿宋" w:hAnsi="仿宋" w:eastAsia="仿宋" w:cs="仿宋"/>
          <w:color w:val="000000"/>
          <w:sz w:val="32"/>
          <w:szCs w:val="32"/>
          <w:u w:val="none" w:color="auto"/>
          <w:shd w:val="clear" w:color="auto" w:fill="auto"/>
        </w:rPr>
        <w:t>积极培育壮大社会工作服务机构，根据不同领域社会工作服务需求与特点，加强社会工作服务机构规范化、标准化建设。优先发展以老年人、残疾人、困境儿童、农村留守人员、流动人口、家庭暴力受害人等为重点服务对象的社会工作服务机构，推进精神慰藉、教育辅导、婚姻家庭、</w:t>
      </w:r>
      <w:r>
        <w:rPr>
          <w:rFonts w:hint="eastAsia" w:ascii="仿宋" w:hAnsi="仿宋" w:eastAsia="仿宋" w:cs="仿宋"/>
          <w:color w:val="000000"/>
          <w:spacing w:val="6"/>
          <w:sz w:val="32"/>
          <w:szCs w:val="32"/>
          <w:u w:val="none" w:color="auto"/>
          <w:shd w:val="clear" w:color="auto" w:fill="auto"/>
        </w:rPr>
        <w:t>矫治帮教、戒毒等领域社会工作，培养专业人才。强化社会工作督导和社会组织等级评估，推进社会工作服务机构品牌化建设。</w:t>
      </w:r>
    </w:p>
    <w:p>
      <w:pPr>
        <w:keepNext w:val="0"/>
        <w:keepLines w:val="0"/>
        <w:pageBreakBefore w:val="0"/>
        <w:kinsoku/>
        <w:wordWrap/>
        <w:overflowPunct/>
        <w:topLinePunct w:val="0"/>
        <w:autoSpaceDE/>
        <w:autoSpaceDN/>
        <w:bidi w:val="0"/>
        <w:spacing w:beforeAutospacing="0" w:line="580" w:lineRule="exact"/>
        <w:ind w:left="0" w:firstLine="627" w:firstLineChars="196"/>
        <w:textAlignment w:val="auto"/>
        <w:rPr>
          <w:rFonts w:hint="eastAsia"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建立健全社会工作人才培养和激励机制。</w:t>
      </w:r>
      <w:r>
        <w:rPr>
          <w:rFonts w:hint="eastAsia" w:ascii="仿宋" w:hAnsi="仿宋" w:eastAsia="仿宋" w:cs="仿宋"/>
          <w:color w:val="000000"/>
          <w:sz w:val="32"/>
          <w:szCs w:val="32"/>
          <w:u w:val="none" w:color="auto"/>
          <w:shd w:val="clear" w:color="auto" w:fill="auto"/>
        </w:rPr>
        <w:t>建立社会工作分级培养体制和分类培训体系，加强城乡社区工作人员的社会工作职业能力培训，提高基层社会工作者的持证率和转化率。支持高等院校进一步优化社会工作专业课程设置和学历教育，整合社会工作培训资源，组织实施社会工作专业人才培养项目。建立健全社会工作人才激励保障机制，加大社会工作专业人才表彰奖励力度，落实社会工作专业人才薪酬待遇。推动落实社会工作专业岗位开发相关政策措施。支持民政事业单位与基层民政经办机构、城乡社区、社会服务机构开发相应的社会工作岗位，加强社会工作专业人才配备使用。健全政府购买社会工作服务长效机制，支持社会工作服务机构开展专业服务。创新推动社会工作专业力量与城乡社区、社会组织、社区志愿者、社会慈善资源“五社联动”服务模式发展，进一步提升基层社会治理能力。</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42" w:name="_Toc8401"/>
      <w:r>
        <w:rPr>
          <w:rFonts w:hint="eastAsia" w:ascii="楷体" w:hAnsi="楷体" w:eastAsia="楷体" w:cs="楷体"/>
          <w:bCs/>
          <w:color w:val="000000"/>
          <w:sz w:val="32"/>
          <w:szCs w:val="32"/>
          <w:u w:val="none" w:color="auto"/>
          <w:shd w:val="clear" w:color="auto" w:fill="auto"/>
        </w:rPr>
        <w:t xml:space="preserve">第五节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积极发展慈善公益事业</w:t>
      </w:r>
      <w:bookmarkEnd w:id="42"/>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创新慈善事业发展机制。</w:t>
      </w:r>
      <w:r>
        <w:rPr>
          <w:rFonts w:hint="eastAsia" w:ascii="仿宋" w:hAnsi="仿宋" w:eastAsia="仿宋" w:cs="仿宋"/>
          <w:color w:val="000000"/>
          <w:sz w:val="32"/>
          <w:szCs w:val="32"/>
          <w:u w:val="none" w:color="auto"/>
          <w:shd w:val="clear" w:color="auto" w:fill="auto"/>
        </w:rPr>
        <w:t>推动出台《内蒙古自治区慈善事业促进条例》。</w:t>
      </w:r>
      <w:r>
        <w:rPr>
          <w:rFonts w:hint="eastAsia" w:ascii="仿宋" w:hAnsi="仿宋" w:eastAsia="仿宋" w:cs="仿宋"/>
          <w:bCs/>
          <w:color w:val="000000"/>
          <w:sz w:val="32"/>
          <w:szCs w:val="32"/>
          <w:u w:val="none" w:color="auto"/>
          <w:shd w:val="clear" w:color="auto" w:fill="auto"/>
        </w:rPr>
        <w:t>发挥慈善在第三次分配中的重要作用，加强社会救助、社会福利制度同慈善事业制度</w:t>
      </w:r>
      <w:r>
        <w:rPr>
          <w:rFonts w:hint="eastAsia" w:ascii="仿宋" w:hAnsi="仿宋" w:eastAsia="仿宋" w:cs="仿宋"/>
          <w:color w:val="000000"/>
          <w:sz w:val="32"/>
          <w:szCs w:val="32"/>
          <w:u w:val="none" w:color="auto"/>
          <w:shd w:val="clear" w:color="auto" w:fill="auto"/>
        </w:rPr>
        <w:t>有机衔接，充分发挥慈善事业在保障改善民生中的积极作用。探索建立慈善力量参与</w:t>
      </w:r>
      <w:r>
        <w:rPr>
          <w:rFonts w:hint="eastAsia" w:ascii="仿宋" w:hAnsi="仿宋" w:eastAsia="仿宋" w:cs="仿宋"/>
          <w:bCs/>
          <w:color w:val="000000"/>
          <w:sz w:val="32"/>
          <w:szCs w:val="32"/>
          <w:u w:val="none" w:color="auto"/>
          <w:shd w:val="clear" w:color="auto" w:fill="auto"/>
        </w:rPr>
        <w:t>应对</w:t>
      </w:r>
      <w:r>
        <w:rPr>
          <w:rFonts w:hint="eastAsia" w:ascii="仿宋" w:hAnsi="仿宋" w:eastAsia="仿宋" w:cs="仿宋"/>
          <w:color w:val="000000"/>
          <w:sz w:val="32"/>
          <w:szCs w:val="32"/>
          <w:u w:val="none" w:color="auto"/>
          <w:shd w:val="clear" w:color="auto" w:fill="auto"/>
        </w:rPr>
        <w:t>突发事件的机制。推动建立慈善表彰机制，做好“中华慈善奖”推荐工作。开展慈善项目合作与交流，广泛动员社会力量积极参与慈善活动</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开展“中华慈善日”等主题活动，为慈善事业筹集资金、物资和提供志愿服务。充分发挥慈善超市示范作用，运用市场机制推动慈善超市创新发展和规范管理，打造慈善超市品牌。促进慈善信托发展，推动慈善信托成为慈善工作新动力。</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加强慈善组织监督管理。</w:t>
      </w:r>
      <w:r>
        <w:rPr>
          <w:rFonts w:hint="eastAsia" w:ascii="仿宋" w:hAnsi="仿宋" w:eastAsia="仿宋" w:cs="仿宋"/>
          <w:color w:val="000000"/>
          <w:sz w:val="32"/>
          <w:szCs w:val="32"/>
          <w:u w:val="none" w:color="auto"/>
          <w:shd w:val="clear" w:color="auto" w:fill="auto"/>
        </w:rPr>
        <w:t>贯彻落实《中华人民共和国慈善法》，完善慈善组织年度报告、信息公开、公开募捐资格等配套制度。增强慈善组织的公信力和透明度，探索建立慈善行为记录和激励机制。进一步规范慈善主体行为，加强慈善组织开展活动的事中事后监管，加大社会监督力度，畅通慈善领域投诉举报渠道，及时查处违法违规行为。加强慈善活动监督，规范慈善主体行为，保障慈善财产合法使用。</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规范发展互联网慈善。</w:t>
      </w:r>
      <w:r>
        <w:rPr>
          <w:rFonts w:hint="eastAsia" w:ascii="仿宋" w:hAnsi="仿宋" w:eastAsia="仿宋" w:cs="仿宋"/>
          <w:color w:val="000000"/>
          <w:sz w:val="32"/>
          <w:szCs w:val="32"/>
          <w:u w:val="none" w:color="auto"/>
          <w:shd w:val="clear" w:color="auto" w:fill="auto"/>
        </w:rPr>
        <w:t>发挥“慈善中国”“社会组织法人库”“信用内蒙古”等平台对慈善组织的服务与监管作用，建立健全慈善组织信息共享机制。进一步优化慈善组织认定、公开募捐资格确认等工作网上办理程序，制定互联网慈善特别是网络募捐具体措施，规范慈善组织网络公开募捐备案活动。</w:t>
      </w:r>
    </w:p>
    <w:p>
      <w:pPr>
        <w:pStyle w:val="2"/>
        <w:keepNext w:val="0"/>
        <w:keepLines w:val="0"/>
        <w:pageBreakBefore w:val="0"/>
        <w:widowControl w:val="0"/>
        <w:kinsoku/>
        <w:wordWrap/>
        <w:overflowPunct/>
        <w:topLinePunct w:val="0"/>
        <w:autoSpaceDE/>
        <w:autoSpaceDN/>
        <w:bidi w:val="0"/>
        <w:adjustRightInd/>
        <w:snapToGrid/>
        <w:spacing w:before="0" w:beforeAutospacing="0" w:after="0" w:line="580" w:lineRule="exact"/>
        <w:ind w:left="0" w:firstLine="643"/>
        <w:textAlignment w:val="auto"/>
        <w:rPr>
          <w:color w:val="000000"/>
          <w:u w:val="none" w:color="auto"/>
          <w:shd w:val="clear" w:color="auto" w:fill="auto"/>
        </w:rPr>
      </w:pPr>
      <w:r>
        <w:rPr>
          <w:rFonts w:hint="eastAsia" w:hAnsi="仿宋" w:cs="仿宋"/>
          <w:b w:val="0"/>
          <w:bCs w:val="0"/>
          <w:color w:val="000000"/>
          <w:u w:val="none" w:color="auto"/>
          <w:shd w:val="clear" w:color="auto" w:fill="auto"/>
          <w:lang w:bidi="mn-Mong-CN"/>
        </w:rPr>
        <w:t>加强福利彩票发行销售管理。</w:t>
      </w:r>
      <w:r>
        <w:rPr>
          <w:rFonts w:hint="eastAsia" w:hAnsi="仿宋" w:cs="仿宋"/>
          <w:color w:val="000000"/>
          <w:u w:val="none" w:color="auto"/>
          <w:shd w:val="clear" w:color="auto" w:fill="auto"/>
          <w:lang w:bidi="mn-Mong-CN"/>
        </w:rPr>
        <w:t>进</w:t>
      </w:r>
      <w:r>
        <w:rPr>
          <w:rFonts w:hint="eastAsia"/>
          <w:color w:val="000000"/>
          <w:u w:val="none" w:color="auto"/>
          <w:shd w:val="clear" w:color="auto" w:fill="auto"/>
        </w:rPr>
        <w:t>一步健全福利彩票销售管理制度规范，完善机构管理制度和运行机制，持续推进信息化市场管控和服务能力建设。在保持全区销售站规模适当、覆盖合理的前提下，规划拓展空白市场。扩大即开票社会化销售渠道，推进与全国纸质票发行销售管理系统有效衔接，探索即开票区域联销综合销售管理工作深度融合运行模式。积极推进基诺游戏的市场开发培育、制度建设等工作。探索全区即开票由机构团队化运营向公司化运营模式发展，促进福利彩票事业高质量发展。</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43" w:name="_Toc5256"/>
      <w:r>
        <w:rPr>
          <w:rFonts w:hint="eastAsia" w:ascii="楷体" w:hAnsi="楷体" w:eastAsia="楷体" w:cs="楷体"/>
          <w:bCs/>
          <w:color w:val="000000"/>
          <w:sz w:val="32"/>
          <w:szCs w:val="32"/>
          <w:u w:val="none" w:color="auto"/>
          <w:shd w:val="clear" w:color="auto" w:fill="auto"/>
        </w:rPr>
        <w:t xml:space="preserve">第六节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促进志愿服务事业健康发展</w:t>
      </w:r>
      <w:bookmarkEnd w:id="43"/>
    </w:p>
    <w:p>
      <w:pPr>
        <w:pStyle w:val="17"/>
        <w:keepNext w:val="0"/>
        <w:keepLines w:val="0"/>
        <w:pageBreakBefore w:val="0"/>
        <w:widowControl w:val="0"/>
        <w:kinsoku/>
        <w:wordWrap/>
        <w:overflowPunct/>
        <w:topLinePunct w:val="0"/>
        <w:autoSpaceDE/>
        <w:autoSpaceDN/>
        <w:bidi w:val="0"/>
        <w:adjustRightInd/>
        <w:snapToGrid/>
        <w:spacing w:beforeAutospacing="0" w:line="580" w:lineRule="exact"/>
        <w:ind w:left="0" w:firstLine="643"/>
        <w:textAlignment w:val="auto"/>
        <w:rPr>
          <w:rFonts w:ascii="仿宋" w:hAnsi="仿宋" w:eastAsia="仿宋" w:cs="仿宋"/>
          <w:color w:val="000000"/>
          <w:sz w:val="32"/>
          <w:szCs w:val="32"/>
          <w:u w:val="none" w:color="auto"/>
          <w:shd w:val="clear" w:color="auto" w:fill="auto"/>
        </w:rPr>
      </w:pPr>
      <w:r>
        <w:rPr>
          <w:rFonts w:hint="eastAsia" w:ascii="仿宋" w:hAnsi="Calibri" w:eastAsia="仿宋" w:cs="Arial"/>
          <w:b w:val="0"/>
          <w:color w:val="000000"/>
          <w:sz w:val="32"/>
          <w:szCs w:val="32"/>
          <w:u w:val="none" w:color="auto"/>
          <w:shd w:val="clear" w:color="auto" w:fill="auto"/>
          <w:lang w:bidi="ar-SA"/>
        </w:rPr>
        <w:t>加强志愿服务体系和平台建设。</w:t>
      </w:r>
      <w:r>
        <w:rPr>
          <w:rFonts w:hint="eastAsia" w:ascii="仿宋" w:hAnsi="Calibri" w:eastAsia="仿宋" w:cs="Arial"/>
          <w:bCs w:val="0"/>
          <w:color w:val="000000"/>
          <w:sz w:val="32"/>
          <w:szCs w:val="32"/>
          <w:u w:val="none" w:color="auto"/>
          <w:shd w:val="clear" w:color="auto" w:fill="auto"/>
          <w:lang w:bidi="ar-SA"/>
        </w:rPr>
        <w:t>推动</w:t>
      </w:r>
      <w:r>
        <w:rPr>
          <w:rFonts w:hint="eastAsia" w:ascii="仿宋" w:hAnsi="仿宋" w:eastAsia="仿宋" w:cs="仿宋"/>
          <w:color w:val="000000"/>
          <w:sz w:val="32"/>
          <w:szCs w:val="32"/>
          <w:u w:val="none" w:color="auto"/>
          <w:shd w:val="clear" w:color="auto" w:fill="auto"/>
        </w:rPr>
        <w:t>出台《内蒙古自治区志愿服务条例》，建立制度保障有力、志愿服务网络健全、参与渠道便捷可及、覆盖领域和范围广泛的志愿服务体系。落实志愿服务记录与证明出具办法,加大税费优惠、资金投入、激励嘉许等政策支持力度。健全社会工作专业人才与志愿者联动机制，实现社会工作人才引领志愿者、志愿者协助社会工作人才开展服务良性互动模式常态化。探索建立政府和慈善力量多元化资金投入机制、保险服务机构制定优惠保险产品、第三方机构进行监督评估的志愿者保险保障体系,有效解决广大志愿者后顾之忧。推动苏木乡镇（街道）、城乡社区依托社区综合服务设施、社会工作服务站建设志愿服务站点，为群众参与和接受志愿服务提供便利条件。推广应用全国志愿服务信息系统，加强归集、交换、共享志愿服务领域数据信息，实现志愿服务信息“一网可查”。</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5"/>
        <w:jc w:val="left"/>
        <w:textAlignment w:val="auto"/>
        <w:rPr>
          <w:rFonts w:ascii="仿宋" w:hAnsi="仿宋" w:eastAsia="仿宋" w:cs="仿宋"/>
          <w:color w:val="000000"/>
          <w:kern w:val="0"/>
          <w:sz w:val="32"/>
          <w:szCs w:val="32"/>
          <w:u w:val="none" w:color="auto"/>
          <w:shd w:val="clear" w:color="auto" w:fill="auto"/>
        </w:rPr>
      </w:pPr>
      <w:r>
        <w:rPr>
          <w:rFonts w:hint="eastAsia" w:ascii="仿宋" w:hAnsi="Calibri" w:eastAsia="仿宋" w:cs="Arial"/>
          <w:b w:val="0"/>
          <w:color w:val="000000"/>
          <w:kern w:val="2"/>
          <w:sz w:val="32"/>
          <w:szCs w:val="32"/>
          <w:u w:val="none" w:color="auto"/>
          <w:shd w:val="clear" w:color="auto" w:fill="auto"/>
          <w:lang w:eastAsia="zh-CN" w:bidi="ar-SA"/>
        </w:rPr>
        <w:t>不断</w:t>
      </w:r>
      <w:r>
        <w:rPr>
          <w:rFonts w:hint="eastAsia" w:ascii="仿宋" w:hAnsi="Calibri" w:eastAsia="仿宋" w:cs="Arial"/>
          <w:b w:val="0"/>
          <w:color w:val="000000"/>
          <w:kern w:val="2"/>
          <w:sz w:val="32"/>
          <w:szCs w:val="32"/>
          <w:u w:val="none" w:color="auto"/>
          <w:shd w:val="clear" w:color="auto" w:fill="auto"/>
          <w:lang w:bidi="ar-SA"/>
        </w:rPr>
        <w:t>提高志愿服务水平。</w:t>
      </w:r>
      <w:r>
        <w:rPr>
          <w:rFonts w:hint="eastAsia" w:ascii="仿宋" w:hAnsi="Calibri" w:eastAsia="仿宋" w:cs="Arial"/>
          <w:color w:val="000000"/>
          <w:kern w:val="2"/>
          <w:sz w:val="32"/>
          <w:szCs w:val="32"/>
          <w:u w:val="none" w:color="auto"/>
          <w:shd w:val="clear" w:color="auto" w:fill="auto"/>
          <w:lang w:bidi="ar-SA"/>
        </w:rPr>
        <w:t>动员</w:t>
      </w:r>
      <w:r>
        <w:rPr>
          <w:rFonts w:hint="eastAsia" w:ascii="仿宋" w:hAnsi="仿宋" w:eastAsia="仿宋" w:cs="仿宋"/>
          <w:color w:val="000000"/>
          <w:kern w:val="0"/>
          <w:sz w:val="32"/>
          <w:szCs w:val="32"/>
          <w:u w:val="none" w:color="auto"/>
          <w:shd w:val="clear" w:color="auto" w:fill="auto"/>
        </w:rPr>
        <w:t>引导各类公益组织和团体围绕自治区</w:t>
      </w:r>
      <w:r>
        <w:rPr>
          <w:rFonts w:hint="eastAsia" w:ascii="仿宋" w:hAnsi="仿宋" w:eastAsia="仿宋" w:cs="仿宋"/>
          <w:color w:val="000000"/>
          <w:kern w:val="0"/>
          <w:sz w:val="32"/>
          <w:szCs w:val="32"/>
          <w:u w:val="none" w:color="auto"/>
          <w:shd w:val="clear" w:color="auto" w:fill="auto"/>
          <w:lang w:eastAsia="zh-CN"/>
        </w:rPr>
        <w:t>工作</w:t>
      </w:r>
      <w:r>
        <w:rPr>
          <w:rFonts w:hint="eastAsia" w:ascii="仿宋" w:hAnsi="仿宋" w:eastAsia="仿宋" w:cs="仿宋"/>
          <w:color w:val="000000"/>
          <w:kern w:val="0"/>
          <w:sz w:val="32"/>
          <w:szCs w:val="32"/>
          <w:u w:val="none" w:color="auto"/>
          <w:shd w:val="clear" w:color="auto" w:fill="auto"/>
        </w:rPr>
        <w:t>部署，推动志愿服务专业化发展，持续在社会救助、移风易俗、养老助残、儿童福利等领域组织开展专项志愿服务活动，打造全区志愿服务优秀品牌项目。鼓励引导慈善组织通过募捐和资源链接等方式，为志愿服务组织开展活动提供资金支持，进一步拓宽志愿服务项目资金渠道。搭建信息系统平台，探索开展“时间银行”志愿服务实践活动。深入开展“3·5学雷锋日”“12·5志愿者日”等主题宣传活动，加大志愿服务宣传展示力度，营造良好的社会舆论氛围。</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color w:val="000000"/>
          <w:kern w:val="0"/>
          <w:sz w:val="32"/>
          <w:szCs w:val="32"/>
          <w:u w:val="none" w:color="auto"/>
          <w:shd w:val="clear" w:color="auto" w:fill="auto"/>
        </w:rPr>
      </w:pPr>
      <w:bookmarkStart w:id="44" w:name="_Toc12944"/>
      <w:bookmarkStart w:id="45" w:name="_Toc7653"/>
      <w:r>
        <w:rPr>
          <w:rFonts w:hint="eastAsia" w:ascii="楷体" w:hAnsi="楷体" w:eastAsia="楷体" w:cs="楷体"/>
          <w:color w:val="000000"/>
          <w:kern w:val="0"/>
          <w:sz w:val="32"/>
          <w:szCs w:val="32"/>
          <w:u w:val="none" w:color="auto"/>
          <w:shd w:val="clear" w:color="auto" w:fill="auto"/>
        </w:rPr>
        <w:t xml:space="preserve">第七节 </w:t>
      </w:r>
      <w:r>
        <w:rPr>
          <w:rFonts w:hint="eastAsia" w:ascii="楷体" w:hAnsi="楷体" w:eastAsia="楷体" w:cs="楷体"/>
          <w:color w:val="000000"/>
          <w:kern w:val="0"/>
          <w:sz w:val="32"/>
          <w:szCs w:val="32"/>
          <w:u w:val="none" w:color="auto"/>
          <w:shd w:val="clear" w:color="auto" w:fill="auto"/>
          <w:lang w:val="en-US" w:eastAsia="zh-CN"/>
        </w:rPr>
        <w:t xml:space="preserve"> </w:t>
      </w:r>
      <w:r>
        <w:rPr>
          <w:rFonts w:hint="eastAsia" w:ascii="楷体" w:hAnsi="楷体" w:eastAsia="楷体" w:cs="楷体"/>
          <w:color w:val="000000"/>
          <w:kern w:val="0"/>
          <w:sz w:val="32"/>
          <w:szCs w:val="32"/>
          <w:u w:val="none" w:color="auto"/>
          <w:shd w:val="clear" w:color="auto" w:fill="auto"/>
        </w:rPr>
        <w:t>加强行政区划和行政区域界线管理</w:t>
      </w:r>
      <w:bookmarkEnd w:id="44"/>
    </w:p>
    <w:bookmarkEnd w:id="40"/>
    <w:bookmarkEnd w:id="45"/>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5"/>
        <w:textAlignment w:val="auto"/>
        <w:rPr>
          <w:rFonts w:ascii="仿宋" w:hAnsi="仿宋" w:eastAsia="仿宋"/>
          <w:color w:val="000000"/>
          <w:kern w:val="0"/>
          <w:sz w:val="32"/>
          <w:szCs w:val="32"/>
          <w:u w:val="none" w:color="auto"/>
          <w:shd w:val="clear" w:color="auto" w:fill="auto"/>
        </w:rPr>
      </w:pPr>
      <w:bookmarkStart w:id="46" w:name="_Toc17498"/>
      <w:bookmarkStart w:id="47" w:name="_Toc25755"/>
      <w:bookmarkStart w:id="48" w:name="_Toc31117"/>
      <w:r>
        <w:rPr>
          <w:rFonts w:hint="eastAsia" w:ascii="仿宋" w:hAnsi="仿宋" w:eastAsia="仿宋" w:cs="仿宋"/>
          <w:b w:val="0"/>
          <w:bCs w:val="0"/>
          <w:color w:val="000000"/>
          <w:kern w:val="0"/>
          <w:sz w:val="32"/>
          <w:szCs w:val="32"/>
          <w:u w:val="none" w:color="auto"/>
          <w:shd w:val="clear" w:color="auto" w:fill="auto"/>
        </w:rPr>
        <w:t>健全完善行政区划管理制度。</w:t>
      </w:r>
      <w:r>
        <w:rPr>
          <w:rFonts w:hint="eastAsia" w:ascii="仿宋" w:hAnsi="仿宋" w:eastAsia="仿宋"/>
          <w:color w:val="000000"/>
          <w:kern w:val="0"/>
          <w:sz w:val="32"/>
          <w:szCs w:val="32"/>
          <w:u w:val="none" w:color="auto"/>
          <w:shd w:val="clear" w:color="auto" w:fill="auto"/>
        </w:rPr>
        <w:t>贯彻落实《行政区划管理条例》《行政区划管理实施办法》，不断完善行政区划调整专家论证、风险评估、征求意见、实地调查等工作制度。严格执行国家设立市辖区、县级市的政策标准，遵照自治区设镇、设街道标准和申报审核程序</w:t>
      </w:r>
      <w:r>
        <w:rPr>
          <w:rFonts w:hint="eastAsia" w:ascii="仿宋" w:hAnsi="仿宋" w:eastAsia="仿宋"/>
          <w:color w:val="000000"/>
          <w:sz w:val="32"/>
          <w:szCs w:val="32"/>
          <w:u w:val="none" w:color="auto"/>
          <w:shd w:val="clear" w:color="auto" w:fill="auto"/>
        </w:rPr>
        <w:t>，做好行政区划调整事项的审核把关工作。审慎提出优化行政区划设置意见</w:t>
      </w:r>
      <w:r>
        <w:rPr>
          <w:rFonts w:hint="eastAsia" w:ascii="仿宋" w:hAnsi="仿宋" w:eastAsia="仿宋"/>
          <w:color w:val="000000"/>
          <w:kern w:val="0"/>
          <w:sz w:val="32"/>
          <w:szCs w:val="32"/>
          <w:u w:val="none" w:color="auto"/>
          <w:shd w:val="clear" w:color="auto" w:fill="auto"/>
        </w:rPr>
        <w:t>，规范引导城镇</w:t>
      </w:r>
      <w:r>
        <w:rPr>
          <w:rFonts w:hint="eastAsia" w:ascii="仿宋" w:hAnsi="仿宋" w:eastAsia="仿宋"/>
          <w:color w:val="000000"/>
          <w:kern w:val="0"/>
          <w:sz w:val="32"/>
          <w:szCs w:val="32"/>
          <w:u w:val="none" w:color="auto"/>
          <w:shd w:val="clear" w:color="auto" w:fill="auto"/>
          <w:lang w:eastAsia="zh-CN"/>
        </w:rPr>
        <w:t>行</w:t>
      </w:r>
      <w:r>
        <w:rPr>
          <w:rFonts w:hint="eastAsia" w:ascii="仿宋" w:hAnsi="仿宋" w:eastAsia="仿宋"/>
          <w:color w:val="000000"/>
          <w:kern w:val="0"/>
          <w:sz w:val="32"/>
          <w:szCs w:val="32"/>
          <w:u w:val="none" w:color="auto"/>
          <w:shd w:val="clear" w:color="auto" w:fill="auto"/>
        </w:rPr>
        <w:t>政区行政区划调整。</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5"/>
        <w:textAlignment w:val="auto"/>
        <w:rPr>
          <w:rFonts w:hint="eastAsia" w:ascii="仿宋" w:hAnsi="仿宋" w:eastAsia="仿宋" w:cs="仿宋"/>
          <w:color w:val="000000"/>
          <w:spacing w:val="0"/>
          <w:kern w:val="0"/>
          <w:sz w:val="32"/>
          <w:szCs w:val="32"/>
          <w:u w:val="none" w:color="auto"/>
          <w:shd w:val="clear" w:color="auto" w:fill="auto"/>
        </w:rPr>
      </w:pPr>
      <w:r>
        <w:rPr>
          <w:rFonts w:hint="eastAsia" w:ascii="仿宋" w:hAnsi="仿宋" w:eastAsia="仿宋" w:cs="仿宋"/>
          <w:b w:val="0"/>
          <w:bCs w:val="0"/>
          <w:color w:val="000000"/>
          <w:kern w:val="0"/>
          <w:sz w:val="32"/>
          <w:szCs w:val="32"/>
          <w:u w:val="none" w:color="auto"/>
          <w:shd w:val="clear" w:color="auto" w:fill="auto"/>
        </w:rPr>
        <w:t>因地制宜优化行政区划设置。</w:t>
      </w:r>
      <w:r>
        <w:rPr>
          <w:rFonts w:hint="eastAsia" w:ascii="仿宋" w:hAnsi="仿宋" w:eastAsia="仿宋" w:cs="仿宋"/>
          <w:b w:val="0"/>
          <w:color w:val="000000"/>
          <w:kern w:val="0"/>
          <w:sz w:val="32"/>
          <w:szCs w:val="32"/>
          <w:u w:val="none" w:color="auto"/>
          <w:shd w:val="clear" w:color="auto" w:fill="auto"/>
        </w:rPr>
        <w:t>稳妥推动增设中小城市，</w:t>
      </w:r>
      <w:r>
        <w:rPr>
          <w:rFonts w:hint="eastAsia" w:ascii="仿宋" w:hAnsi="仿宋" w:eastAsia="仿宋" w:cs="仿宋"/>
          <w:color w:val="000000"/>
          <w:spacing w:val="0"/>
          <w:kern w:val="0"/>
          <w:sz w:val="32"/>
          <w:szCs w:val="32"/>
          <w:u w:val="none" w:color="auto"/>
          <w:shd w:val="clear" w:color="auto" w:fill="auto"/>
        </w:rPr>
        <w:t>根据地区实际，有序推动发展条件成熟的地区设市。推动在城市群范围内、重要中心城市周边地区增设县级市</w:t>
      </w:r>
      <w:r>
        <w:rPr>
          <w:rFonts w:hint="eastAsia" w:ascii="仿宋" w:hAnsi="仿宋" w:eastAsia="仿宋" w:cs="仿宋"/>
          <w:color w:val="000000"/>
          <w:spacing w:val="0"/>
          <w:kern w:val="0"/>
          <w:sz w:val="32"/>
          <w:szCs w:val="32"/>
          <w:u w:val="none" w:color="auto"/>
          <w:shd w:val="clear" w:color="auto" w:fill="auto"/>
          <w:lang w:val="en-US" w:eastAsia="zh-CN"/>
        </w:rPr>
        <w:t>,</w:t>
      </w:r>
      <w:r>
        <w:rPr>
          <w:rFonts w:hint="eastAsia" w:ascii="仿宋" w:hAnsi="仿宋" w:eastAsia="仿宋" w:cs="仿宋"/>
          <w:color w:val="000000"/>
          <w:spacing w:val="0"/>
          <w:kern w:val="0"/>
          <w:sz w:val="32"/>
          <w:szCs w:val="32"/>
          <w:u w:val="none" w:color="auto"/>
          <w:shd w:val="clear" w:color="auto" w:fill="auto"/>
        </w:rPr>
        <w:t>承接中心城市疏解功能，缓解中心城市发展压力。支持民族地区、特殊类型地区中发展基础相对较好、符合条件的旗县设市</w:t>
      </w:r>
      <w:r>
        <w:rPr>
          <w:rFonts w:hint="eastAsia" w:ascii="仿宋" w:hAnsi="仿宋" w:eastAsia="仿宋" w:cs="仿宋"/>
          <w:color w:val="000000"/>
          <w:spacing w:val="0"/>
          <w:kern w:val="0"/>
          <w:sz w:val="32"/>
          <w:szCs w:val="32"/>
          <w:u w:val="none" w:color="auto"/>
          <w:shd w:val="clear" w:color="auto" w:fill="auto"/>
          <w:lang w:val="en-US" w:eastAsia="zh-CN"/>
        </w:rPr>
        <w:t>,</w:t>
      </w:r>
      <w:r>
        <w:rPr>
          <w:rFonts w:hint="eastAsia" w:ascii="仿宋" w:hAnsi="仿宋" w:eastAsia="仿宋" w:cs="仿宋"/>
          <w:color w:val="000000"/>
          <w:spacing w:val="0"/>
          <w:kern w:val="0"/>
          <w:sz w:val="32"/>
          <w:szCs w:val="32"/>
          <w:u w:val="none" w:color="auto"/>
          <w:shd w:val="clear" w:color="auto" w:fill="auto"/>
        </w:rPr>
        <w:t>加快培育中小城市</w:t>
      </w:r>
      <w:r>
        <w:rPr>
          <w:rFonts w:hint="eastAsia" w:ascii="仿宋" w:hAnsi="仿宋" w:eastAsia="仿宋" w:cs="仿宋"/>
          <w:color w:val="000000"/>
          <w:spacing w:val="0"/>
          <w:kern w:val="0"/>
          <w:sz w:val="32"/>
          <w:szCs w:val="32"/>
          <w:u w:val="none" w:color="auto"/>
          <w:shd w:val="clear" w:color="auto" w:fill="auto"/>
          <w:lang w:val="en-US" w:eastAsia="zh-CN"/>
        </w:rPr>
        <w:t>,</w:t>
      </w:r>
      <w:r>
        <w:rPr>
          <w:rFonts w:hint="eastAsia" w:ascii="仿宋" w:hAnsi="仿宋" w:eastAsia="仿宋" w:cs="仿宋"/>
          <w:color w:val="000000"/>
          <w:spacing w:val="0"/>
          <w:kern w:val="0"/>
          <w:sz w:val="32"/>
          <w:szCs w:val="32"/>
          <w:u w:val="none" w:color="auto"/>
          <w:shd w:val="clear" w:color="auto" w:fill="auto"/>
        </w:rPr>
        <w:t>带动周边地区发展。</w:t>
      </w:r>
      <w:r>
        <w:rPr>
          <w:rFonts w:hint="eastAsia" w:ascii="仿宋" w:hAnsi="仿宋" w:eastAsia="仿宋" w:cs="仿宋"/>
          <w:b w:val="0"/>
          <w:color w:val="000000"/>
          <w:spacing w:val="0"/>
          <w:kern w:val="0"/>
          <w:sz w:val="32"/>
          <w:szCs w:val="32"/>
          <w:u w:val="none" w:color="auto"/>
          <w:shd w:val="clear" w:color="auto" w:fill="auto"/>
        </w:rPr>
        <w:t>合理调整城市市辖区规模结构</w:t>
      </w:r>
      <w:r>
        <w:rPr>
          <w:rFonts w:hint="eastAsia" w:ascii="仿宋" w:hAnsi="仿宋" w:eastAsia="仿宋" w:cs="仿宋"/>
          <w:color w:val="000000"/>
          <w:spacing w:val="0"/>
          <w:kern w:val="0"/>
          <w:sz w:val="32"/>
          <w:szCs w:val="32"/>
          <w:u w:val="none" w:color="auto"/>
          <w:shd w:val="clear" w:color="auto" w:fill="auto"/>
          <w:lang w:val="en-US" w:eastAsia="zh-CN"/>
        </w:rPr>
        <w:t>,</w:t>
      </w:r>
      <w:r>
        <w:rPr>
          <w:rFonts w:hint="eastAsia" w:ascii="仿宋" w:hAnsi="仿宋" w:eastAsia="仿宋" w:cs="仿宋"/>
          <w:color w:val="000000"/>
          <w:spacing w:val="0"/>
          <w:kern w:val="0"/>
          <w:sz w:val="32"/>
          <w:szCs w:val="32"/>
          <w:u w:val="none" w:color="auto"/>
          <w:shd w:val="clear" w:color="auto" w:fill="auto"/>
        </w:rPr>
        <w:t>提高城市群综合承载和资源优化配置能力</w:t>
      </w:r>
      <w:r>
        <w:rPr>
          <w:rFonts w:hint="eastAsia" w:ascii="仿宋" w:hAnsi="仿宋" w:eastAsia="仿宋" w:cs="仿宋"/>
          <w:color w:val="000000"/>
          <w:spacing w:val="0"/>
          <w:kern w:val="0"/>
          <w:sz w:val="32"/>
          <w:szCs w:val="32"/>
          <w:u w:val="none" w:color="auto"/>
          <w:shd w:val="clear" w:color="auto" w:fill="auto"/>
          <w:lang w:val="en-US" w:eastAsia="zh-CN"/>
        </w:rPr>
        <w:t>,</w:t>
      </w:r>
      <w:r>
        <w:rPr>
          <w:rFonts w:hint="eastAsia" w:ascii="仿宋" w:hAnsi="仿宋" w:eastAsia="仿宋" w:cs="仿宋"/>
          <w:color w:val="000000"/>
          <w:spacing w:val="0"/>
          <w:kern w:val="0"/>
          <w:sz w:val="32"/>
          <w:szCs w:val="32"/>
          <w:u w:val="none" w:color="auto"/>
          <w:shd w:val="clear" w:color="auto" w:fill="auto"/>
        </w:rPr>
        <w:t>综合考虑城市功能定位、现有规模、综合承载能力以及所在区域整体发展态势等多方面因素</w:t>
      </w:r>
      <w:r>
        <w:rPr>
          <w:rFonts w:hint="eastAsia" w:ascii="仿宋" w:hAnsi="仿宋" w:eastAsia="仿宋" w:cs="仿宋"/>
          <w:color w:val="000000"/>
          <w:spacing w:val="0"/>
          <w:kern w:val="0"/>
          <w:sz w:val="32"/>
          <w:szCs w:val="32"/>
          <w:u w:val="none" w:color="auto"/>
          <w:shd w:val="clear" w:color="auto" w:fill="auto"/>
          <w:lang w:val="en-US" w:eastAsia="zh-CN"/>
        </w:rPr>
        <w:t>,</w:t>
      </w:r>
      <w:r>
        <w:rPr>
          <w:rFonts w:hint="eastAsia" w:ascii="仿宋" w:hAnsi="仿宋" w:eastAsia="仿宋" w:cs="仿宋"/>
          <w:color w:val="000000"/>
          <w:spacing w:val="0"/>
          <w:kern w:val="0"/>
          <w:sz w:val="32"/>
          <w:szCs w:val="32"/>
          <w:u w:val="none" w:color="auto"/>
          <w:shd w:val="clear" w:color="auto" w:fill="auto"/>
        </w:rPr>
        <w:t>综合评估拟调整旗县（市</w:t>
      </w:r>
      <w:r>
        <w:rPr>
          <w:rFonts w:hint="eastAsia" w:ascii="仿宋" w:hAnsi="仿宋" w:eastAsia="仿宋" w:cs="仿宋"/>
          <w:color w:val="000000"/>
          <w:spacing w:val="0"/>
          <w:kern w:val="0"/>
          <w:sz w:val="32"/>
          <w:szCs w:val="32"/>
          <w:u w:val="none" w:color="auto"/>
          <w:shd w:val="clear" w:color="auto" w:fill="auto"/>
          <w:lang w:eastAsia="zh-CN"/>
        </w:rPr>
        <w:t>、区</w:t>
      </w:r>
      <w:r>
        <w:rPr>
          <w:rFonts w:hint="eastAsia" w:ascii="仿宋" w:hAnsi="仿宋" w:eastAsia="仿宋" w:cs="仿宋"/>
          <w:color w:val="000000"/>
          <w:spacing w:val="0"/>
          <w:kern w:val="0"/>
          <w:sz w:val="32"/>
          <w:szCs w:val="32"/>
          <w:u w:val="none" w:color="auto"/>
          <w:shd w:val="clear" w:color="auto" w:fill="auto"/>
        </w:rPr>
        <w:t>）经济社会发展基础条件、与中心城区联系紧密程度及历史人文背景等</w:t>
      </w:r>
      <w:r>
        <w:rPr>
          <w:rFonts w:hint="eastAsia" w:ascii="仿宋" w:hAnsi="仿宋" w:eastAsia="仿宋" w:cs="仿宋"/>
          <w:color w:val="000000"/>
          <w:spacing w:val="0"/>
          <w:kern w:val="0"/>
          <w:sz w:val="32"/>
          <w:szCs w:val="32"/>
          <w:u w:val="none" w:color="auto"/>
          <w:shd w:val="clear" w:color="auto" w:fill="auto"/>
          <w:lang w:val="en-US" w:eastAsia="zh-CN"/>
        </w:rPr>
        <w:t>,</w:t>
      </w:r>
      <w:r>
        <w:rPr>
          <w:rFonts w:hint="eastAsia" w:ascii="仿宋" w:hAnsi="仿宋" w:eastAsia="仿宋" w:cs="仿宋"/>
          <w:color w:val="000000"/>
          <w:spacing w:val="0"/>
          <w:kern w:val="0"/>
          <w:sz w:val="32"/>
          <w:szCs w:val="32"/>
          <w:u w:val="none" w:color="auto"/>
          <w:shd w:val="clear" w:color="auto" w:fill="auto"/>
        </w:rPr>
        <w:t>研究中心城市重要经济功能区行政区划设置。</w:t>
      </w:r>
      <w:r>
        <w:rPr>
          <w:rFonts w:hint="eastAsia" w:ascii="仿宋" w:hAnsi="仿宋" w:eastAsia="仿宋" w:cs="仿宋"/>
          <w:b w:val="0"/>
          <w:color w:val="000000"/>
          <w:spacing w:val="0"/>
          <w:kern w:val="0"/>
          <w:sz w:val="32"/>
          <w:szCs w:val="32"/>
          <w:u w:val="none" w:color="auto"/>
          <w:shd w:val="clear" w:color="auto" w:fill="auto"/>
        </w:rPr>
        <w:t>优化基层行政区划结构</w:t>
      </w:r>
      <w:r>
        <w:rPr>
          <w:rFonts w:hint="eastAsia" w:ascii="仿宋" w:hAnsi="仿宋" w:eastAsia="仿宋" w:cs="仿宋"/>
          <w:color w:val="000000"/>
          <w:spacing w:val="0"/>
          <w:kern w:val="0"/>
          <w:sz w:val="32"/>
          <w:szCs w:val="32"/>
          <w:u w:val="none" w:color="auto"/>
          <w:shd w:val="clear" w:color="auto" w:fill="auto"/>
        </w:rPr>
        <w:t>，科学实施乡、镇、苏木、街道行政区划设置，推进新型城镇化和乡村振兴对接，统筹城乡空间布局和资源配置，更好地适应经济社会发展。</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5"/>
        <w:jc w:val="left"/>
        <w:textAlignment w:val="auto"/>
        <w:rPr>
          <w:rFonts w:hint="eastAsia" w:ascii="仿宋" w:hAnsi="仿宋" w:eastAsia="仿宋"/>
          <w:color w:val="000000"/>
          <w:kern w:val="0"/>
          <w:sz w:val="32"/>
          <w:szCs w:val="32"/>
          <w:u w:val="none" w:color="auto"/>
          <w:shd w:val="clear" w:color="auto" w:fill="auto"/>
        </w:rPr>
      </w:pPr>
      <w:r>
        <w:rPr>
          <w:rFonts w:hint="eastAsia" w:ascii="仿宋" w:hAnsi="仿宋" w:eastAsia="仿宋" w:cs="仿宋"/>
          <w:b w:val="0"/>
          <w:bCs w:val="0"/>
          <w:color w:val="000000"/>
          <w:kern w:val="0"/>
          <w:sz w:val="32"/>
          <w:szCs w:val="32"/>
          <w:u w:val="none" w:color="auto"/>
          <w:shd w:val="clear" w:color="auto" w:fill="auto"/>
        </w:rPr>
        <w:t>依法加强行政区域界线管理。</w:t>
      </w:r>
      <w:r>
        <w:rPr>
          <w:rFonts w:hint="eastAsia" w:ascii="仿宋" w:hAnsi="仿宋" w:eastAsia="仿宋" w:cs="仿宋"/>
          <w:color w:val="000000"/>
          <w:kern w:val="0"/>
          <w:sz w:val="32"/>
          <w:szCs w:val="32"/>
          <w:u w:val="none" w:color="auto"/>
          <w:shd w:val="clear" w:color="auto" w:fill="auto"/>
        </w:rPr>
        <w:t>完成省、盟市、旗县（市、区）三级行政区划界线联检工作，巩固勘界成果，维护界线稳定。健全完善行政区域界线</w:t>
      </w:r>
      <w:r>
        <w:rPr>
          <w:rFonts w:hint="eastAsia" w:ascii="仿宋" w:hAnsi="仿宋" w:eastAsia="仿宋" w:cs="仿宋"/>
          <w:color w:val="000000"/>
          <w:kern w:val="0"/>
          <w:sz w:val="32"/>
          <w:szCs w:val="32"/>
          <w:u w:val="none" w:color="auto"/>
          <w:shd w:val="clear" w:color="auto" w:fill="auto"/>
          <w:lang w:eastAsia="zh-CN"/>
        </w:rPr>
        <w:t>纠纷</w:t>
      </w:r>
      <w:r>
        <w:rPr>
          <w:rFonts w:hint="eastAsia" w:ascii="仿宋" w:hAnsi="仿宋" w:eastAsia="仿宋" w:cs="仿宋"/>
          <w:color w:val="000000"/>
          <w:kern w:val="0"/>
          <w:sz w:val="32"/>
          <w:szCs w:val="32"/>
          <w:u w:val="none" w:color="auto"/>
          <w:shd w:val="clear" w:color="auto" w:fill="auto"/>
        </w:rPr>
        <w:t>防范化解应急处置、协同机制，做好重点地段行政区域界线隐患排查防范工作，依法及时妥善处置边界纠纷。加强政策法规宣传引导，营造平安边界创建氛围。严格落实建设平安边界职责，创新界线管护手段和载体，实现自治区、盟市、旗县（市、区）三级行政区域界线、界桩信息化、智能化管理</w:t>
      </w:r>
      <w:r>
        <w:rPr>
          <w:rFonts w:hint="eastAsia" w:ascii="仿宋" w:hAnsi="仿宋" w:eastAsia="仿宋" w:cs="仿宋"/>
          <w:color w:val="000000"/>
          <w:kern w:val="0"/>
          <w:sz w:val="32"/>
          <w:szCs w:val="32"/>
          <w:u w:val="none" w:color="auto"/>
          <w:shd w:val="clear" w:color="auto" w:fill="auto"/>
          <w:lang w:eastAsia="zh-CN"/>
        </w:rPr>
        <w:t>。</w:t>
      </w:r>
      <w:r>
        <w:rPr>
          <w:rFonts w:hint="eastAsia" w:ascii="仿宋" w:hAnsi="仿宋" w:eastAsia="仿宋" w:cs="仿宋"/>
          <w:color w:val="000000"/>
          <w:kern w:val="0"/>
          <w:sz w:val="32"/>
          <w:szCs w:val="32"/>
          <w:u w:val="none" w:color="auto"/>
          <w:shd w:val="clear" w:color="auto" w:fill="auto"/>
        </w:rPr>
        <w:t>加强行政区域界线界桩管理和维护，及时修复更换损毁、移位界桩，维护边界地区和谐稳定。指导做好行政区划变更后行政区</w:t>
      </w:r>
      <w:r>
        <w:rPr>
          <w:rFonts w:hint="eastAsia" w:ascii="仿宋" w:hAnsi="仿宋" w:eastAsia="仿宋"/>
          <w:color w:val="000000"/>
          <w:kern w:val="0"/>
          <w:sz w:val="32"/>
          <w:szCs w:val="32"/>
          <w:u w:val="none" w:color="auto"/>
          <w:shd w:val="clear" w:color="auto" w:fill="auto"/>
        </w:rPr>
        <w:t>域界线勘定工作。</w:t>
      </w:r>
    </w:p>
    <w:p>
      <w:pPr>
        <w:pStyle w:val="2"/>
        <w:rPr>
          <w:rFonts w:hint="eastAsia"/>
        </w:rPr>
      </w:pPr>
    </w:p>
    <w:tbl>
      <w:tblPr>
        <w:tblStyle w:val="1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jc w:val="center"/>
        </w:trPr>
        <w:tc>
          <w:tcPr>
            <w:tcW w:w="9174" w:type="dxa"/>
            <w:vAlign w:val="top"/>
          </w:tcPr>
          <w:p>
            <w:pPr>
              <w:pStyle w:val="16"/>
              <w:keepNext w:val="0"/>
              <w:keepLines w:val="0"/>
              <w:pageBreakBefore w:val="0"/>
              <w:widowControl w:val="0"/>
              <w:kinsoku/>
              <w:wordWrap/>
              <w:overflowPunct/>
              <w:topLinePunct w:val="0"/>
              <w:autoSpaceDE/>
              <w:autoSpaceDN/>
              <w:bidi w:val="0"/>
              <w:snapToGrid/>
              <w:spacing w:beforeAutospacing="0" w:line="580" w:lineRule="exact"/>
              <w:ind w:left="0" w:firstLine="0" w:firstLineChars="0"/>
              <w:jc w:val="center"/>
              <w:textAlignment w:val="auto"/>
              <w:rPr>
                <w:rFonts w:ascii="仿宋" w:hAnsi="仿宋" w:eastAsia="仿宋" w:cs="仿宋"/>
                <w:color w:val="000000"/>
                <w:kern w:val="0"/>
                <w:sz w:val="28"/>
                <w:szCs w:val="28"/>
                <w:u w:val="none" w:color="auto"/>
                <w:shd w:val="clear" w:color="auto" w:fill="auto"/>
              </w:rPr>
            </w:pPr>
            <w:bookmarkStart w:id="49" w:name="_Toc32709"/>
            <w:r>
              <w:rPr>
                <w:rFonts w:hint="eastAsia" w:ascii="黑体" w:hAnsi="黑体" w:eastAsia="黑体" w:cs="黑体"/>
                <w:bCs/>
                <w:color w:val="000000"/>
                <w:kern w:val="2"/>
                <w:sz w:val="32"/>
                <w:szCs w:val="32"/>
                <w:u w:val="none" w:color="auto"/>
                <w:shd w:val="clear" w:color="auto" w:fill="auto"/>
                <w:lang w:val="en-US" w:eastAsia="zh-CN" w:bidi="ar-SA"/>
              </w:rPr>
              <w:t>专栏4  基层社会治理体系和治理能力提升工程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74" w:type="dxa"/>
            <w:vAlign w:val="top"/>
          </w:tcPr>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bCs/>
                <w:color w:val="000000"/>
                <w:kern w:val="0"/>
                <w:sz w:val="28"/>
                <w:szCs w:val="28"/>
                <w:u w:val="none" w:color="auto"/>
                <w:shd w:val="clear" w:color="auto" w:fill="auto"/>
              </w:rPr>
            </w:pPr>
            <w:r>
              <w:rPr>
                <w:rFonts w:hint="eastAsia" w:ascii="仿宋" w:hAnsi="仿宋" w:eastAsia="仿宋" w:cs="仿宋"/>
                <w:b/>
                <w:bCs/>
                <w:color w:val="000000"/>
                <w:kern w:val="0"/>
                <w:sz w:val="28"/>
                <w:szCs w:val="28"/>
                <w:u w:val="none" w:color="auto"/>
                <w:shd w:val="clear" w:color="auto" w:fill="auto"/>
              </w:rPr>
              <w:t>1.城乡社区服务设施建设</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kern w:val="0"/>
                <w:sz w:val="28"/>
                <w:szCs w:val="28"/>
                <w:u w:val="none" w:color="auto"/>
                <w:shd w:val="clear" w:color="auto" w:fill="auto"/>
              </w:rPr>
            </w:pPr>
            <w:r>
              <w:rPr>
                <w:rFonts w:hint="eastAsia" w:ascii="仿宋" w:hAnsi="仿宋" w:eastAsia="仿宋" w:cs="仿宋"/>
                <w:color w:val="000000"/>
                <w:kern w:val="0"/>
                <w:sz w:val="28"/>
                <w:szCs w:val="28"/>
                <w:u w:val="none" w:color="auto"/>
                <w:shd w:val="clear" w:color="auto" w:fill="auto"/>
              </w:rPr>
              <w:t>推动城市社区综合服务设施全覆盖，提升村级综合服务设施能力。推动嘎</w:t>
            </w:r>
            <w:r>
              <w:rPr>
                <w:rFonts w:hint="eastAsia" w:ascii="仿宋" w:hAnsi="仿宋" w:eastAsia="仿宋" w:cs="仿宋"/>
                <w:color w:val="000000"/>
                <w:kern w:val="0"/>
                <w:sz w:val="28"/>
                <w:szCs w:val="28"/>
                <w:u w:val="none" w:color="auto"/>
                <w:shd w:val="clear" w:color="auto" w:fill="auto"/>
                <w:lang w:eastAsia="zh-CN"/>
              </w:rPr>
              <w:t>查</w:t>
            </w:r>
            <w:r>
              <w:rPr>
                <w:rFonts w:hint="eastAsia" w:ascii="仿宋" w:hAnsi="仿宋" w:eastAsia="仿宋" w:cs="仿宋"/>
                <w:color w:val="000000"/>
                <w:kern w:val="0"/>
                <w:sz w:val="28"/>
                <w:szCs w:val="28"/>
                <w:u w:val="none" w:color="auto"/>
                <w:shd w:val="clear" w:color="auto" w:fill="auto"/>
              </w:rPr>
              <w:t>村易地扶贫搬迁集中安置社区综合服务设施建设。创新城乡社区综合服务设施运行机制，提高设施利用率。</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Cs/>
                <w:color w:val="000000"/>
                <w:kern w:val="0"/>
                <w:sz w:val="28"/>
                <w:szCs w:val="28"/>
                <w:u w:val="none" w:color="auto"/>
                <w:shd w:val="clear" w:color="auto" w:fill="auto"/>
              </w:rPr>
            </w:pPr>
            <w:r>
              <w:rPr>
                <w:rFonts w:hint="eastAsia" w:ascii="仿宋" w:hAnsi="仿宋" w:eastAsia="仿宋" w:cs="仿宋"/>
                <w:b/>
                <w:color w:val="000000"/>
                <w:kern w:val="0"/>
                <w:sz w:val="28"/>
                <w:szCs w:val="28"/>
                <w:u w:val="none" w:color="auto"/>
                <w:shd w:val="clear" w:color="auto" w:fill="auto"/>
              </w:rPr>
              <w:t>2.城乡社区服务提质增效</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hint="eastAsia" w:ascii="仿宋" w:hAnsi="仿宋" w:eastAsia="仿宋" w:cs="仿宋"/>
                <w:bCs/>
                <w:color w:val="000000"/>
                <w:kern w:val="0"/>
                <w:sz w:val="28"/>
                <w:szCs w:val="28"/>
                <w:u w:val="none" w:color="auto"/>
                <w:shd w:val="clear" w:color="auto" w:fill="auto"/>
              </w:rPr>
            </w:pPr>
            <w:r>
              <w:rPr>
                <w:rFonts w:hint="eastAsia" w:ascii="仿宋" w:hAnsi="仿宋" w:eastAsia="仿宋" w:cs="仿宋"/>
                <w:bCs/>
                <w:kern w:val="0"/>
                <w:sz w:val="28"/>
                <w:szCs w:val="28"/>
                <w:u w:val="none" w:color="auto"/>
                <w:shd w:val="clear" w:color="auto" w:fill="auto"/>
              </w:rPr>
              <w:t>支持各地</w:t>
            </w:r>
            <w:r>
              <w:rPr>
                <w:rFonts w:hint="eastAsia" w:ascii="仿宋" w:hAnsi="仿宋" w:eastAsia="仿宋" w:cs="仿宋"/>
                <w:bCs/>
                <w:kern w:val="0"/>
                <w:sz w:val="28"/>
                <w:szCs w:val="28"/>
                <w:u w:val="none" w:color="auto"/>
                <w:shd w:val="clear" w:color="auto" w:fill="auto"/>
                <w:lang w:eastAsia="zh-CN"/>
              </w:rPr>
              <w:t>区</w:t>
            </w:r>
            <w:r>
              <w:rPr>
                <w:rFonts w:hint="eastAsia" w:ascii="仿宋" w:hAnsi="仿宋" w:eastAsia="仿宋" w:cs="仿宋"/>
                <w:bCs/>
                <w:kern w:val="0"/>
                <w:sz w:val="28"/>
                <w:szCs w:val="28"/>
                <w:u w:val="none" w:color="auto"/>
                <w:shd w:val="clear" w:color="auto" w:fill="auto"/>
              </w:rPr>
              <w:t>建立政府购买社区服务长效机制，探索实施社区服务（电子）券项目，对老年人、困难群众家庭社区服务消费予以适当补贴，实现社区养老、托育、家政等服务</w:t>
            </w:r>
            <w:r>
              <w:rPr>
                <w:rFonts w:hint="eastAsia" w:ascii="仿宋" w:hAnsi="仿宋" w:eastAsia="仿宋" w:cs="仿宋"/>
                <w:bCs/>
                <w:kern w:val="0"/>
                <w:sz w:val="28"/>
                <w:szCs w:val="28"/>
                <w:u w:val="none" w:color="auto"/>
                <w:shd w:val="clear" w:color="auto" w:fill="auto"/>
                <w:lang w:eastAsia="zh-CN"/>
              </w:rPr>
              <w:t>“</w:t>
            </w:r>
            <w:r>
              <w:rPr>
                <w:rFonts w:hint="eastAsia" w:ascii="仿宋" w:hAnsi="仿宋" w:eastAsia="仿宋" w:cs="仿宋"/>
                <w:bCs/>
                <w:kern w:val="0"/>
                <w:sz w:val="28"/>
                <w:szCs w:val="28"/>
                <w:u w:val="none" w:color="auto"/>
                <w:shd w:val="clear" w:color="auto" w:fill="auto"/>
              </w:rPr>
              <w:t>一券通用</w:t>
            </w:r>
            <w:r>
              <w:rPr>
                <w:rFonts w:hint="eastAsia" w:ascii="仿宋" w:hAnsi="仿宋" w:eastAsia="仿宋" w:cs="仿宋"/>
                <w:bCs/>
                <w:kern w:val="0"/>
                <w:sz w:val="28"/>
                <w:szCs w:val="28"/>
                <w:u w:val="none" w:color="auto"/>
                <w:shd w:val="clear" w:color="auto" w:fill="auto"/>
                <w:lang w:eastAsia="zh-CN"/>
              </w:rPr>
              <w:t>”</w:t>
            </w:r>
            <w:r>
              <w:rPr>
                <w:rFonts w:hint="eastAsia" w:ascii="仿宋" w:hAnsi="仿宋" w:eastAsia="仿宋" w:cs="仿宋"/>
                <w:bCs/>
                <w:kern w:val="0"/>
                <w:sz w:val="28"/>
                <w:szCs w:val="28"/>
                <w:u w:val="none" w:color="auto"/>
                <w:shd w:val="clear" w:color="auto" w:fill="auto"/>
              </w:rPr>
              <w:t>。</w:t>
            </w:r>
            <w:r>
              <w:rPr>
                <w:rFonts w:hint="eastAsia" w:ascii="仿宋" w:hAnsi="仿宋" w:eastAsia="仿宋" w:cs="仿宋"/>
                <w:bCs/>
                <w:color w:val="000000"/>
                <w:kern w:val="0"/>
                <w:sz w:val="28"/>
                <w:szCs w:val="28"/>
                <w:u w:val="none" w:color="auto"/>
                <w:shd w:val="clear" w:color="auto" w:fill="auto"/>
              </w:rPr>
              <w:t>指导探索建立社区服务机构（企业）认证机制。推动物业服务企业为社区居民提供多样化生活服务。实施“互联网+社区”行动，开展智慧社区建设，推动社区服务智能化。</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color w:val="000000"/>
                <w:kern w:val="0"/>
                <w:sz w:val="28"/>
                <w:szCs w:val="28"/>
                <w:u w:val="none" w:color="auto"/>
                <w:shd w:val="clear" w:color="auto" w:fill="auto"/>
              </w:rPr>
            </w:pPr>
            <w:r>
              <w:rPr>
                <w:rFonts w:hint="eastAsia" w:ascii="仿宋" w:hAnsi="仿宋" w:eastAsia="仿宋" w:cs="仿宋"/>
                <w:b/>
                <w:color w:val="000000"/>
                <w:kern w:val="0"/>
                <w:sz w:val="28"/>
                <w:szCs w:val="28"/>
                <w:u w:val="none" w:color="auto"/>
                <w:shd w:val="clear" w:color="auto" w:fill="auto"/>
              </w:rPr>
              <w:t>3.社会组织质量提升工程</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bCs/>
                <w:color w:val="000000"/>
                <w:kern w:val="0"/>
                <w:sz w:val="28"/>
                <w:szCs w:val="28"/>
                <w:u w:val="none" w:color="auto"/>
                <w:shd w:val="clear" w:color="auto" w:fill="auto"/>
              </w:rPr>
            </w:pPr>
            <w:r>
              <w:rPr>
                <w:rFonts w:hint="eastAsia" w:ascii="仿宋" w:hAnsi="仿宋" w:eastAsia="仿宋" w:cs="仿宋"/>
                <w:bCs/>
                <w:color w:val="000000"/>
                <w:kern w:val="0"/>
                <w:sz w:val="28"/>
                <w:szCs w:val="28"/>
                <w:u w:val="none" w:color="auto"/>
                <w:shd w:val="clear" w:color="auto" w:fill="auto"/>
              </w:rPr>
              <w:t>持续开展社会组织培育发展、能力提升、作用发挥、规范管理等工作，提升社会组织法人治理水平。有计划培养1000名社会组织领军人才，重点打造100家品牌性社会组织。深入开展社会组织等级评估工作，自治区级社会组织参评率达到30%以上，评估等级在3A以上的达到60%，5A等级达到5%。加强盟市、旗县（市、区）社会组织孵化基地建设，力争到“十四五”末所有盟市、50%以上的旗县（市、区）建立社会组织孵化基地。</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bCs/>
                <w:color w:val="000000"/>
                <w:kern w:val="0"/>
                <w:sz w:val="28"/>
                <w:szCs w:val="28"/>
                <w:u w:val="none" w:color="auto"/>
                <w:shd w:val="clear" w:color="auto" w:fill="auto"/>
              </w:rPr>
            </w:pPr>
            <w:r>
              <w:rPr>
                <w:rFonts w:hint="eastAsia" w:ascii="仿宋" w:hAnsi="仿宋" w:eastAsia="仿宋" w:cs="仿宋"/>
                <w:b/>
                <w:bCs/>
                <w:color w:val="000000"/>
                <w:kern w:val="0"/>
                <w:sz w:val="28"/>
                <w:szCs w:val="28"/>
                <w:u w:val="none" w:color="auto"/>
                <w:shd w:val="clear" w:color="auto" w:fill="auto"/>
              </w:rPr>
              <w:t>4.行政区划变更效果评估</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spacing w:val="-6"/>
                <w:kern w:val="0"/>
                <w:sz w:val="28"/>
                <w:szCs w:val="28"/>
                <w:u w:val="none" w:color="auto"/>
                <w:shd w:val="clear" w:color="auto" w:fill="auto"/>
              </w:rPr>
            </w:pPr>
            <w:r>
              <w:rPr>
                <w:rFonts w:hint="eastAsia" w:ascii="仿宋" w:hAnsi="仿宋" w:eastAsia="仿宋" w:cs="仿宋"/>
                <w:color w:val="000000"/>
                <w:spacing w:val="-6"/>
                <w:kern w:val="0"/>
                <w:sz w:val="28"/>
                <w:szCs w:val="28"/>
                <w:u w:val="none" w:color="auto"/>
                <w:shd w:val="clear" w:color="auto" w:fill="auto"/>
              </w:rPr>
              <w:t>探索建立行政区划变更评估工作规范、评估指标体系，对自治区人民政府审批的区划调整进行评估，对国务院审批的行政区划调整开展自评。</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bCs/>
                <w:color w:val="000000"/>
                <w:kern w:val="0"/>
                <w:sz w:val="28"/>
                <w:szCs w:val="28"/>
                <w:u w:val="none" w:color="auto"/>
                <w:shd w:val="clear" w:color="auto" w:fill="auto"/>
              </w:rPr>
            </w:pPr>
            <w:r>
              <w:rPr>
                <w:rFonts w:hint="eastAsia" w:ascii="仿宋" w:hAnsi="仿宋" w:eastAsia="仿宋" w:cs="仿宋"/>
                <w:b/>
                <w:bCs/>
                <w:color w:val="000000"/>
                <w:kern w:val="0"/>
                <w:sz w:val="28"/>
                <w:szCs w:val="28"/>
                <w:u w:val="none" w:color="auto"/>
                <w:shd w:val="clear" w:color="auto" w:fill="auto"/>
              </w:rPr>
              <w:t>5.行政区域界线管理信息化、智能化</w:t>
            </w:r>
          </w:p>
          <w:p>
            <w:pPr>
              <w:pStyle w:val="16"/>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bCs/>
                <w:color w:val="000000"/>
                <w:kern w:val="0"/>
                <w:sz w:val="28"/>
                <w:szCs w:val="28"/>
                <w:u w:val="none" w:color="auto"/>
                <w:shd w:val="clear" w:color="auto" w:fill="auto"/>
              </w:rPr>
            </w:pPr>
            <w:r>
              <w:rPr>
                <w:rFonts w:hint="eastAsia" w:ascii="仿宋" w:hAnsi="仿宋" w:eastAsia="仿宋" w:cs="仿宋"/>
                <w:color w:val="000000"/>
                <w:kern w:val="0"/>
                <w:sz w:val="28"/>
                <w:szCs w:val="28"/>
                <w:u w:val="none" w:color="auto"/>
                <w:shd w:val="clear" w:color="auto" w:fill="auto"/>
              </w:rPr>
              <w:t>采取旗县试点先行，逐步展开的方式，力争“十四五”期间完成自治区、盟市、旗县</w:t>
            </w:r>
            <w:r>
              <w:rPr>
                <w:rFonts w:hint="eastAsia" w:ascii="仿宋" w:hAnsi="仿宋" w:eastAsia="仿宋" w:cs="仿宋"/>
                <w:color w:val="000000"/>
                <w:kern w:val="0"/>
                <w:sz w:val="28"/>
                <w:szCs w:val="28"/>
                <w:u w:val="none" w:color="auto"/>
                <w:shd w:val="clear" w:color="auto" w:fill="auto"/>
                <w:lang w:eastAsia="zh-CN"/>
              </w:rPr>
              <w:t>（市、区）</w:t>
            </w:r>
            <w:r>
              <w:rPr>
                <w:rFonts w:hint="eastAsia" w:ascii="仿宋" w:hAnsi="仿宋" w:eastAsia="仿宋" w:cs="仿宋"/>
                <w:color w:val="000000"/>
                <w:kern w:val="0"/>
                <w:sz w:val="28"/>
                <w:szCs w:val="28"/>
                <w:u w:val="none" w:color="auto"/>
                <w:shd w:val="clear" w:color="auto" w:fill="auto"/>
              </w:rPr>
              <w:t>三级行政区域界线界桩成果转换、界线数据矢量化，界桩、界线管理智能化。</w:t>
            </w:r>
          </w:p>
        </w:tc>
      </w:tr>
    </w:tbl>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0"/>
        <w:rPr>
          <w:rFonts w:cs="仿宋"/>
          <w:color w:val="000000"/>
          <w:u w:val="none" w:color="auto"/>
          <w:shd w:val="clear" w:color="auto" w:fill="auto"/>
        </w:rPr>
      </w:pPr>
      <w:bookmarkStart w:id="50" w:name="_Toc16100"/>
      <w:r>
        <w:rPr>
          <w:rFonts w:hint="eastAsia" w:ascii="黑体" w:hAnsi="黑体" w:eastAsia="黑体" w:cs="黑体"/>
          <w:color w:val="000000"/>
          <w:sz w:val="32"/>
          <w:szCs w:val="32"/>
          <w:u w:val="none" w:color="auto"/>
          <w:shd w:val="clear" w:color="auto" w:fill="auto"/>
        </w:rPr>
        <w:t xml:space="preserve">第四章 </w:t>
      </w:r>
      <w:r>
        <w:rPr>
          <w:rFonts w:hint="eastAsia" w:ascii="黑体" w:hAnsi="黑体" w:eastAsia="黑体" w:cs="黑体"/>
          <w:color w:val="000000"/>
          <w:sz w:val="32"/>
          <w:szCs w:val="32"/>
          <w:u w:val="none" w:color="auto"/>
          <w:shd w:val="clear" w:color="auto" w:fill="auto"/>
          <w:lang w:val="en-US" w:eastAsia="zh-CN"/>
        </w:rPr>
        <w:t xml:space="preserve"> </w:t>
      </w:r>
      <w:r>
        <w:rPr>
          <w:rFonts w:hint="eastAsia" w:ascii="黑体" w:hAnsi="黑体" w:eastAsia="黑体" w:cs="黑体"/>
          <w:color w:val="000000"/>
          <w:sz w:val="32"/>
          <w:szCs w:val="32"/>
          <w:u w:val="none" w:color="auto"/>
          <w:shd w:val="clear" w:color="auto" w:fill="auto"/>
        </w:rPr>
        <w:t>强化基本社会服务</w:t>
      </w:r>
      <w:bookmarkEnd w:id="46"/>
      <w:r>
        <w:rPr>
          <w:rFonts w:hint="eastAsia" w:ascii="黑体" w:hAnsi="黑体" w:eastAsia="黑体" w:cs="黑体"/>
          <w:color w:val="000000"/>
          <w:sz w:val="32"/>
          <w:szCs w:val="32"/>
          <w:u w:val="none" w:color="auto"/>
          <w:shd w:val="clear" w:color="auto" w:fill="auto"/>
        </w:rPr>
        <w:t>，提升民生福祉水平</w:t>
      </w:r>
      <w:bookmarkEnd w:id="49"/>
      <w:bookmarkEnd w:id="50"/>
    </w:p>
    <w:p>
      <w:pPr>
        <w:keepNext w:val="0"/>
        <w:keepLines w:val="0"/>
        <w:pageBreakBefore w:val="0"/>
        <w:kinsoku/>
        <w:wordWrap/>
        <w:overflowPunct/>
        <w:topLinePunct w:val="0"/>
        <w:autoSpaceDE/>
        <w:autoSpaceDN/>
        <w:bidi w:val="0"/>
        <w:spacing w:beforeAutospacing="0" w:line="580" w:lineRule="exact"/>
        <w:ind w:left="0" w:firstLine="640"/>
        <w:jc w:val="left"/>
        <w:textAlignment w:val="auto"/>
        <w:rPr>
          <w:rFonts w:cs="仿宋"/>
          <w:color w:val="000000"/>
          <w:spacing w:val="-6"/>
          <w:u w:val="none" w:color="auto"/>
          <w:shd w:val="clear" w:color="auto" w:fill="auto"/>
        </w:rPr>
      </w:pPr>
      <w:r>
        <w:rPr>
          <w:rFonts w:hint="eastAsia" w:ascii="仿宋" w:hAnsi="仿宋" w:eastAsia="仿宋" w:cs="仿宋"/>
          <w:color w:val="000000"/>
          <w:sz w:val="32"/>
          <w:szCs w:val="32"/>
          <w:u w:val="none" w:color="auto"/>
          <w:shd w:val="clear" w:color="auto" w:fill="auto"/>
        </w:rPr>
        <w:t>加强家庭建设，优化婚姻收养登记，加强未成年人保护和留守儿童、困境儿童关爱，推进地名、殡葬等公共服务，合理拓展</w:t>
      </w:r>
      <w:r>
        <w:rPr>
          <w:rFonts w:hint="eastAsia" w:ascii="仿宋" w:hAnsi="仿宋" w:eastAsia="仿宋" w:cs="仿宋"/>
          <w:color w:val="000000"/>
          <w:spacing w:val="-6"/>
          <w:sz w:val="32"/>
          <w:szCs w:val="32"/>
          <w:u w:val="none" w:color="auto"/>
          <w:shd w:val="clear" w:color="auto" w:fill="auto"/>
        </w:rPr>
        <w:t>服务内容，提高服务质量，提升基本社会服务专业化、精准化水平。</w:t>
      </w:r>
      <w:bookmarkStart w:id="51" w:name="_Toc3030"/>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firstLine="0" w:firstLineChars="0"/>
        <w:jc w:val="center"/>
        <w:textAlignment w:val="auto"/>
        <w:outlineLvl w:val="1"/>
        <w:rPr>
          <w:rFonts w:cs="仿宋"/>
          <w:color w:val="000000"/>
          <w:u w:val="none" w:color="auto"/>
          <w:shd w:val="clear" w:color="auto" w:fill="auto"/>
        </w:rPr>
      </w:pPr>
      <w:bookmarkStart w:id="52" w:name="_Toc12497"/>
      <w:r>
        <w:rPr>
          <w:rFonts w:hint="eastAsia" w:ascii="楷体" w:hAnsi="楷体" w:eastAsia="楷体" w:cs="楷体"/>
          <w:color w:val="000000"/>
          <w:u w:val="none" w:color="auto"/>
          <w:shd w:val="clear" w:color="auto" w:fill="auto"/>
        </w:rPr>
        <w:t xml:space="preserve">第一节 </w:t>
      </w:r>
      <w:r>
        <w:rPr>
          <w:rFonts w:hint="eastAsia" w:ascii="楷体" w:hAnsi="楷体" w:eastAsia="楷体" w:cs="楷体"/>
          <w:color w:val="000000"/>
          <w:u w:val="none" w:color="auto"/>
          <w:shd w:val="clear" w:color="auto" w:fill="auto"/>
          <w:lang w:val="en-US" w:eastAsia="zh-CN"/>
        </w:rPr>
        <w:t xml:space="preserve"> </w:t>
      </w:r>
      <w:r>
        <w:rPr>
          <w:rFonts w:hint="eastAsia" w:ascii="楷体" w:hAnsi="楷体" w:eastAsia="楷体" w:cs="楷体"/>
          <w:color w:val="000000"/>
          <w:u w:val="none" w:color="auto"/>
          <w:shd w:val="clear" w:color="auto" w:fill="auto"/>
        </w:rPr>
        <w:t>提升婚姻收养管理服务水平</w:t>
      </w:r>
      <w:bookmarkEnd w:id="51"/>
      <w:bookmarkEnd w:id="52"/>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27" w:firstLineChars="196"/>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优化婚姻登记管理水平</w:t>
      </w:r>
      <w:r>
        <w:rPr>
          <w:rFonts w:hint="eastAsia" w:ascii="仿宋" w:hAnsi="仿宋" w:eastAsia="仿宋" w:cs="仿宋"/>
          <w:color w:val="000000"/>
          <w:sz w:val="32"/>
          <w:szCs w:val="32"/>
          <w:u w:val="none" w:color="auto"/>
          <w:shd w:val="clear" w:color="auto" w:fill="auto"/>
        </w:rPr>
        <w:t>。加强婚姻登记机关规范化建设，打造优质服务窗口。健全婚姻登记信用体系，扎实推进婚姻登记严重失信当事人信用约束和联合惩戒，建立健全弄虚作假骗取婚姻登记的纠错机制。推动建立婚介服务机构监管制度，规范婚介行业事中事后监管</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探索将颁证仪式引入结婚登记流程、推动实现婚姻登记“跨省通办”。优化婚姻政务事项，精简办事程序，推进“互联网+婚姻”，通过微信、APP等多平台渠道，开展婚姻登记智能咨询、网上预约，积极增加图像采集、人脸识别、指纹比对、身份信息核验、电子化档案管理等设施设备，实现婚姻登记工作的数字化、精细化和智慧化，推动婚姻登记服务向更加便捷、高效转变。</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27" w:firstLineChars="196"/>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强化开展婚姻家庭辅导教育</w:t>
      </w:r>
      <w:r>
        <w:rPr>
          <w:rFonts w:hint="eastAsia" w:ascii="仿宋" w:hAnsi="仿宋" w:eastAsia="仿宋" w:cs="仿宋"/>
          <w:color w:val="000000"/>
          <w:sz w:val="32"/>
          <w:szCs w:val="32"/>
          <w:u w:val="none" w:color="auto"/>
          <w:shd w:val="clear" w:color="auto" w:fill="auto"/>
        </w:rPr>
        <w:t>。出台《关于加强新时代婚姻家庭辅导教育工作的指导意见》，积极搭建多层次、广覆盖、便捷化的婚姻家庭辅导教育服务平台。通过公益创投、政策扶持、经费补贴、政府购买服务等方式，引导社会组织、基层群众性自治组织和专业人才开展健康家庭教育、婚姻辅导、社会心理调试、法律咨询、家风家教和优生优育等综合服务。有条件的婚姻登记机关要设置婚姻家庭辅导室（婚姻家庭纠纷调解室）和社会工作专业岗位，引入社会工作专业力量为当事人提供情感沟通、心理疏导，关系修复、纠纷调解等服务</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实现婚姻家庭辅导室（婚姻家庭纠纷调解室）在旗县级以上婚姻登记机关覆盖率达到80%。</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27" w:firstLineChars="196"/>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扎实推进婚俗改革</w:t>
      </w:r>
      <w:r>
        <w:rPr>
          <w:rFonts w:hint="eastAsia" w:ascii="仿宋" w:hAnsi="仿宋" w:eastAsia="仿宋" w:cs="仿宋"/>
          <w:color w:val="000000"/>
          <w:sz w:val="32"/>
          <w:szCs w:val="32"/>
          <w:u w:val="none" w:color="auto"/>
          <w:shd w:val="clear" w:color="auto" w:fill="auto"/>
        </w:rPr>
        <w:t>。建立整治天价彩礼、铺张浪费、低俗婚闹、随礼攀比等不正之风的长效机制，营造良好社会风气。深入开展婚俗改革试点工作，弘扬中华优秀婚姻家庭文化，积极倡导鼓励和推广传统婚礼、集体婚礼、纪念婚礼，加强婚姻</w:t>
      </w:r>
      <w:r>
        <w:rPr>
          <w:rFonts w:hint="eastAsia" w:ascii="仿宋" w:hAnsi="仿宋" w:eastAsia="仿宋" w:cs="仿宋"/>
          <w:color w:val="000000"/>
          <w:spacing w:val="-6"/>
          <w:sz w:val="32"/>
          <w:szCs w:val="32"/>
          <w:u w:val="none" w:color="auto"/>
          <w:shd w:val="clear" w:color="auto" w:fill="auto"/>
        </w:rPr>
        <w:t>登记场所文化建设，倡导健康文明、简约适度的婚俗文化。鼓励有条件的地方设置婚俗文化墙、婚俗文化展示厅、婚俗文化博物馆或婚姻家庭文化基地。充分发挥社区教育作用，开展好家风好家教好家训进家庭、进社区、进村庄、进校园、进企业活动。</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27" w:firstLineChars="196"/>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完善收养登记管理。</w:t>
      </w:r>
      <w:r>
        <w:rPr>
          <w:rFonts w:hint="eastAsia" w:ascii="仿宋" w:hAnsi="仿宋" w:eastAsia="仿宋" w:cs="仿宋"/>
          <w:color w:val="000000"/>
          <w:sz w:val="32"/>
          <w:szCs w:val="32"/>
          <w:u w:val="none" w:color="auto"/>
          <w:shd w:val="clear" w:color="auto" w:fill="auto"/>
        </w:rPr>
        <w:t>认真贯彻落实《中华人民共和国民法典》，健全完善儿童收养登记制度体系。完善收养评估标准，全面实施收养评估。研究制定支持家庭收养儿童福利机构内病残儿童的配套政策。规范收养登记档案管理，优化收养登记服务。探索收养工作部门协同机制，协商处置收养疑难问题。</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楷体" w:hAnsi="楷体" w:eastAsia="楷体" w:cs="楷体"/>
          <w:color w:val="000000"/>
          <w:sz w:val="32"/>
          <w:szCs w:val="32"/>
          <w:u w:val="none" w:color="auto"/>
          <w:shd w:val="clear" w:color="auto" w:fill="auto"/>
        </w:rPr>
      </w:pPr>
      <w:bookmarkStart w:id="53" w:name="_Toc30652"/>
      <w:r>
        <w:rPr>
          <w:rFonts w:hint="eastAsia" w:ascii="楷体" w:hAnsi="楷体" w:eastAsia="楷体" w:cs="楷体"/>
          <w:color w:val="000000"/>
          <w:sz w:val="32"/>
          <w:szCs w:val="32"/>
          <w:u w:val="none" w:color="auto"/>
          <w:shd w:val="clear" w:color="auto" w:fill="auto"/>
        </w:rPr>
        <w:t xml:space="preserve">第二节 </w:t>
      </w:r>
      <w:r>
        <w:rPr>
          <w:rFonts w:hint="eastAsia" w:ascii="楷体" w:hAnsi="楷体" w:eastAsia="楷体" w:cs="楷体"/>
          <w:color w:val="000000"/>
          <w:sz w:val="32"/>
          <w:szCs w:val="32"/>
          <w:u w:val="none" w:color="auto"/>
          <w:shd w:val="clear" w:color="auto" w:fill="auto"/>
          <w:lang w:val="en-US" w:eastAsia="zh-CN"/>
        </w:rPr>
        <w:t xml:space="preserve"> </w:t>
      </w:r>
      <w:r>
        <w:rPr>
          <w:rFonts w:hint="eastAsia" w:ascii="楷体" w:hAnsi="楷体" w:eastAsia="楷体" w:cs="楷体"/>
          <w:color w:val="000000"/>
          <w:sz w:val="32"/>
          <w:szCs w:val="32"/>
          <w:u w:val="none" w:color="auto"/>
          <w:shd w:val="clear" w:color="auto" w:fill="auto"/>
        </w:rPr>
        <w:t>健全未成年人保护体系</w:t>
      </w:r>
      <w:bookmarkEnd w:id="53"/>
    </w:p>
    <w:p>
      <w:pPr>
        <w:keepNext w:val="0"/>
        <w:keepLines w:val="0"/>
        <w:pageBreakBefore w:val="0"/>
        <w:widowControl w:val="0"/>
        <w:kinsoku/>
        <w:wordWrap/>
        <w:overflowPunct/>
        <w:topLinePunct w:val="0"/>
        <w:autoSpaceDE/>
        <w:autoSpaceDN/>
        <w:bidi w:val="0"/>
        <w:snapToGrid/>
        <w:spacing w:beforeAutospacing="0" w:line="580" w:lineRule="exact"/>
        <w:ind w:left="0" w:firstLine="627" w:firstLineChars="196"/>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健全未成年人保护体系。</w:t>
      </w:r>
      <w:r>
        <w:rPr>
          <w:rFonts w:hint="eastAsia" w:ascii="仿宋" w:hAnsi="仿宋" w:eastAsia="仿宋" w:cs="仿宋"/>
          <w:color w:val="000000"/>
          <w:sz w:val="32"/>
          <w:szCs w:val="32"/>
          <w:u w:val="none" w:color="auto"/>
          <w:shd w:val="clear" w:color="auto" w:fill="auto"/>
        </w:rPr>
        <w:t>健全</w:t>
      </w:r>
      <w:r>
        <w:rPr>
          <w:rFonts w:hint="eastAsia" w:ascii="仿宋" w:hAnsi="仿宋" w:eastAsia="仿宋"/>
          <w:color w:val="000000"/>
          <w:sz w:val="32"/>
          <w:szCs w:val="32"/>
          <w:u w:val="none" w:color="auto"/>
          <w:shd w:val="clear" w:color="auto" w:fill="auto"/>
        </w:rPr>
        <w:t>未成年人保护法规制度，落实“家庭监护为主体、社会监护为补充、国家监护为兜底”的监护制度，形成家庭、社会、政府“三位一体”的未成年人保护合力。积极发挥自治区未成年人保护工作领导小组作用，建立完善自治区、盟市、旗县（市</w:t>
      </w:r>
      <w:r>
        <w:rPr>
          <w:rFonts w:hint="eastAsia" w:ascii="仿宋" w:hAnsi="仿宋" w:eastAsia="仿宋"/>
          <w:color w:val="000000"/>
          <w:sz w:val="32"/>
          <w:szCs w:val="32"/>
          <w:u w:val="none" w:color="auto"/>
          <w:shd w:val="clear" w:color="auto" w:fill="auto"/>
          <w:lang w:eastAsia="zh-CN"/>
        </w:rPr>
        <w:t>、</w:t>
      </w:r>
      <w:r>
        <w:rPr>
          <w:rFonts w:hint="eastAsia" w:ascii="仿宋" w:hAnsi="仿宋" w:eastAsia="仿宋"/>
          <w:color w:val="000000"/>
          <w:sz w:val="32"/>
          <w:szCs w:val="32"/>
          <w:u w:val="none" w:color="auto"/>
          <w:shd w:val="clear" w:color="auto" w:fill="auto"/>
        </w:rPr>
        <w:t>区）三级联动的未成年人保护工作协调机制，统筹、协调、督促和指导有关部门做好未成年人保护工作。推动形成党委领导、政府主导、民政部门牵头、相关部门各司其责、社会力量广泛参与的未成年人保护工作格局。强化未成年人监护能力建设，按照“家庭尽责、政府主导、社会参与”的原则，强化家庭主体责任，加强家庭教育指导、监督、帮扶，提升家庭监护能力</w:t>
      </w:r>
      <w:r>
        <w:rPr>
          <w:rFonts w:hint="eastAsia" w:ascii="仿宋" w:hAnsi="仿宋" w:eastAsia="仿宋" w:cs="仿宋"/>
          <w:color w:val="000000"/>
          <w:sz w:val="32"/>
          <w:szCs w:val="32"/>
          <w:u w:val="none" w:color="auto"/>
          <w:shd w:val="clear" w:color="auto" w:fill="auto"/>
        </w:rPr>
        <w:t>。</w:t>
      </w:r>
    </w:p>
    <w:p>
      <w:pPr>
        <w:keepNext w:val="0"/>
        <w:keepLines w:val="0"/>
        <w:pageBreakBefore w:val="0"/>
        <w:widowControl w:val="0"/>
        <w:kinsoku/>
        <w:wordWrap/>
        <w:overflowPunct/>
        <w:topLinePunct w:val="0"/>
        <w:autoSpaceDE/>
        <w:autoSpaceDN/>
        <w:bidi w:val="0"/>
        <w:snapToGrid/>
        <w:spacing w:beforeAutospacing="0" w:line="580" w:lineRule="exact"/>
        <w:ind w:left="0" w:firstLine="627" w:firstLineChars="196"/>
        <w:textAlignment w:val="auto"/>
        <w:rPr>
          <w:rFonts w:ascii="仿宋" w:hAnsi="仿宋" w:eastAsia="仿宋"/>
          <w:color w:val="000000"/>
          <w:sz w:val="32"/>
          <w:szCs w:val="32"/>
          <w:u w:val="none" w:color="auto"/>
          <w:shd w:val="clear" w:color="auto" w:fill="auto"/>
        </w:rPr>
      </w:pPr>
      <w:r>
        <w:rPr>
          <w:rFonts w:hint="eastAsia" w:ascii="仿宋" w:hAnsi="仿宋" w:eastAsia="仿宋" w:cs="Mongolian Baiti"/>
          <w:b w:val="0"/>
          <w:bCs w:val="0"/>
          <w:color w:val="000000"/>
          <w:sz w:val="32"/>
          <w:szCs w:val="32"/>
          <w:u w:val="none" w:color="auto"/>
          <w:shd w:val="clear" w:color="auto" w:fill="auto"/>
        </w:rPr>
        <w:t>加强未成年人救助保护设施建设。</w:t>
      </w:r>
      <w:r>
        <w:rPr>
          <w:rFonts w:hint="eastAsia" w:ascii="仿宋" w:hAnsi="仿宋" w:eastAsia="仿宋" w:cs="Mongolian Baiti"/>
          <w:color w:val="000000"/>
          <w:sz w:val="32"/>
          <w:szCs w:val="32"/>
          <w:u w:val="none" w:color="auto"/>
          <w:shd w:val="clear" w:color="auto" w:fill="auto"/>
        </w:rPr>
        <w:t>在</w:t>
      </w:r>
      <w:r>
        <w:rPr>
          <w:rFonts w:hint="eastAsia" w:ascii="仿宋" w:hAnsi="仿宋" w:eastAsia="仿宋"/>
          <w:color w:val="000000"/>
          <w:sz w:val="32"/>
          <w:szCs w:val="32"/>
          <w:u w:val="none" w:color="auto"/>
          <w:shd w:val="clear" w:color="auto" w:fill="auto"/>
        </w:rPr>
        <w:t>未成年人救助保护量大、农村留守儿童和困境儿童关爱服务任务重的旗县（市、区）建设未成年人救助保护设施。提升农村留守儿童、困境儿童等为重点的未成年人关爱服务水平。开通儿童保护热线，发挥未成年人救助保护平台作用。到2025年，现有未成年人救助保护平台转型升级基本完成，盟市级未成年人救助保护平台实现全覆盖</w:t>
      </w:r>
      <w:r>
        <w:rPr>
          <w:rFonts w:hint="eastAsia" w:ascii="仿宋" w:hAnsi="仿宋" w:eastAsia="仿宋"/>
          <w:color w:val="000000"/>
          <w:sz w:val="32"/>
          <w:szCs w:val="32"/>
          <w:highlight w:val="none"/>
          <w:u w:val="none" w:color="auto"/>
          <w:shd w:val="clear" w:color="auto" w:fill="auto"/>
        </w:rPr>
        <w:t>，75%</w:t>
      </w:r>
      <w:r>
        <w:rPr>
          <w:rFonts w:hint="eastAsia" w:ascii="仿宋" w:hAnsi="仿宋" w:eastAsia="仿宋"/>
          <w:color w:val="000000"/>
          <w:sz w:val="32"/>
          <w:szCs w:val="32"/>
          <w:highlight w:val="none"/>
          <w:u w:val="none" w:color="auto"/>
          <w:shd w:val="clear" w:color="auto" w:fill="auto"/>
          <w:lang w:eastAsia="zh-CN"/>
        </w:rPr>
        <w:t>以上</w:t>
      </w:r>
      <w:r>
        <w:rPr>
          <w:rFonts w:hint="eastAsia" w:ascii="仿宋" w:hAnsi="仿宋" w:eastAsia="仿宋"/>
          <w:color w:val="000000"/>
          <w:sz w:val="32"/>
          <w:szCs w:val="32"/>
          <w:highlight w:val="none"/>
          <w:u w:val="none" w:color="auto"/>
          <w:shd w:val="clear" w:color="auto" w:fill="auto"/>
        </w:rPr>
        <w:t>的旗县</w:t>
      </w:r>
      <w:r>
        <w:rPr>
          <w:rFonts w:hint="eastAsia" w:ascii="仿宋" w:hAnsi="仿宋" w:eastAsia="仿宋"/>
          <w:color w:val="000000"/>
          <w:sz w:val="32"/>
          <w:szCs w:val="32"/>
          <w:u w:val="none" w:color="auto"/>
          <w:shd w:val="clear" w:color="auto" w:fill="auto"/>
        </w:rPr>
        <w:t>建立未成年人救助保护机构。</w:t>
      </w:r>
    </w:p>
    <w:tbl>
      <w:tblPr>
        <w:tblStyle w:val="15"/>
        <w:tblpPr w:leftFromText="180" w:rightFromText="180" w:vertAnchor="text" w:horzAnchor="page" w:tblpXSpec="center" w:tblpY="363"/>
        <w:tblOverlap w:val="never"/>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174" w:type="dxa"/>
            <w:vAlign w:val="top"/>
          </w:tcPr>
          <w:p>
            <w:pPr>
              <w:keepNext w:val="0"/>
              <w:keepLines w:val="0"/>
              <w:pageBreakBefore w:val="0"/>
              <w:widowControl w:val="0"/>
              <w:kinsoku/>
              <w:wordWrap/>
              <w:overflowPunct/>
              <w:topLinePunct w:val="0"/>
              <w:autoSpaceDE/>
              <w:autoSpaceDN/>
              <w:bidi w:val="0"/>
              <w:adjustRightInd/>
              <w:snapToGrid/>
              <w:spacing w:beforeAutospacing="0" w:line="480" w:lineRule="exact"/>
              <w:ind w:left="0"/>
              <w:jc w:val="center"/>
              <w:textAlignment w:val="auto"/>
              <w:rPr>
                <w:rFonts w:ascii="仿宋" w:hAnsi="仿宋" w:eastAsia="仿宋" w:cs="仿宋"/>
                <w:b/>
                <w:color w:val="000000"/>
                <w:sz w:val="32"/>
                <w:szCs w:val="32"/>
                <w:u w:val="none" w:color="auto"/>
                <w:shd w:val="clear" w:color="auto" w:fill="auto"/>
              </w:rPr>
            </w:pPr>
            <w:bookmarkStart w:id="54" w:name="_Toc3538"/>
            <w:bookmarkStart w:id="55" w:name="_Toc23196"/>
            <w:r>
              <w:rPr>
                <w:rFonts w:hint="eastAsia" w:ascii="黑体" w:hAnsi="黑体" w:eastAsia="黑体" w:cs="黑体"/>
                <w:bCs/>
                <w:color w:val="000000"/>
                <w:sz w:val="32"/>
                <w:szCs w:val="32"/>
                <w:u w:val="none" w:color="auto"/>
                <w:shd w:val="clear" w:color="auto" w:fill="auto"/>
              </w:rPr>
              <w:t>专栏5  未成年人保护能力建设工程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9174" w:type="dxa"/>
            <w:vAlign w:val="top"/>
          </w:tcPr>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b/>
                <w:color w:val="000000"/>
                <w:sz w:val="28"/>
                <w:szCs w:val="28"/>
                <w:u w:val="none" w:color="auto"/>
                <w:shd w:val="clear" w:color="auto" w:fill="auto"/>
              </w:rPr>
            </w:pPr>
            <w:r>
              <w:rPr>
                <w:rFonts w:hint="eastAsia" w:ascii="仿宋" w:hAnsi="仿宋" w:eastAsia="仿宋"/>
                <w:b/>
                <w:color w:val="000000"/>
                <w:sz w:val="28"/>
                <w:szCs w:val="28"/>
                <w:u w:val="none" w:color="auto"/>
                <w:shd w:val="clear" w:color="auto" w:fill="auto"/>
              </w:rPr>
              <w:t>1.加强设施建设</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olor w:val="000000"/>
                <w:sz w:val="28"/>
                <w:szCs w:val="28"/>
                <w:u w:val="none" w:color="auto"/>
                <w:shd w:val="clear" w:color="auto" w:fill="auto"/>
              </w:rPr>
            </w:pPr>
            <w:r>
              <w:rPr>
                <w:rFonts w:hint="eastAsia" w:ascii="仿宋" w:hAnsi="仿宋" w:eastAsia="仿宋"/>
                <w:color w:val="000000"/>
                <w:sz w:val="28"/>
                <w:szCs w:val="28"/>
                <w:u w:val="none" w:color="auto"/>
                <w:shd w:val="clear" w:color="auto" w:fill="auto"/>
              </w:rPr>
              <w:t>到2025年，现有未成年人救助保护平台转型升级基本完成，盟市级未成年人救助保护平台实现全覆盖，</w:t>
            </w:r>
            <w:r>
              <w:rPr>
                <w:rFonts w:hint="eastAsia" w:ascii="仿宋" w:hAnsi="仿宋" w:eastAsia="仿宋"/>
                <w:color w:val="000000"/>
                <w:sz w:val="28"/>
                <w:szCs w:val="28"/>
                <w:highlight w:val="none"/>
                <w:u w:val="none" w:color="auto"/>
                <w:shd w:val="clear" w:color="auto" w:fill="auto"/>
              </w:rPr>
              <w:t>75%</w:t>
            </w:r>
            <w:r>
              <w:rPr>
                <w:rFonts w:hint="eastAsia" w:ascii="仿宋" w:hAnsi="仿宋" w:eastAsia="仿宋"/>
                <w:color w:val="000000"/>
                <w:sz w:val="28"/>
                <w:szCs w:val="28"/>
                <w:highlight w:val="none"/>
                <w:u w:val="none" w:color="auto"/>
                <w:shd w:val="clear" w:color="auto" w:fill="auto"/>
                <w:lang w:eastAsia="zh-CN"/>
              </w:rPr>
              <w:t>以上</w:t>
            </w:r>
            <w:r>
              <w:rPr>
                <w:rFonts w:hint="eastAsia" w:ascii="仿宋" w:hAnsi="仿宋" w:eastAsia="仿宋"/>
                <w:color w:val="000000"/>
                <w:sz w:val="28"/>
                <w:szCs w:val="28"/>
                <w:highlight w:val="none"/>
                <w:u w:val="none" w:color="auto"/>
                <w:shd w:val="clear" w:color="auto" w:fill="auto"/>
              </w:rPr>
              <w:t>的旗县</w:t>
            </w:r>
            <w:r>
              <w:rPr>
                <w:rFonts w:hint="eastAsia" w:ascii="仿宋" w:hAnsi="仿宋" w:eastAsia="仿宋"/>
                <w:color w:val="000000"/>
                <w:sz w:val="28"/>
                <w:szCs w:val="28"/>
                <w:highlight w:val="none"/>
                <w:u w:val="none" w:color="auto"/>
                <w:shd w:val="clear" w:color="auto" w:fill="auto"/>
                <w:lang w:eastAsia="zh-CN"/>
              </w:rPr>
              <w:t>（市、区）</w:t>
            </w:r>
            <w:r>
              <w:rPr>
                <w:rFonts w:hint="eastAsia" w:ascii="仿宋" w:hAnsi="仿宋" w:eastAsia="仿宋"/>
                <w:color w:val="000000"/>
                <w:sz w:val="28"/>
                <w:szCs w:val="28"/>
                <w:u w:val="none" w:color="auto"/>
                <w:shd w:val="clear" w:color="auto" w:fill="auto"/>
              </w:rPr>
              <w:t>建立未成年人救助保护机构，提高未成年人救助保护机构标准化、规范化水平。</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b/>
                <w:color w:val="000000"/>
                <w:sz w:val="28"/>
                <w:szCs w:val="28"/>
                <w:u w:val="none" w:color="auto"/>
                <w:shd w:val="clear" w:color="auto" w:fill="auto"/>
              </w:rPr>
            </w:pPr>
            <w:r>
              <w:rPr>
                <w:rFonts w:hint="eastAsia" w:ascii="仿宋" w:hAnsi="仿宋" w:eastAsia="仿宋"/>
                <w:b/>
                <w:color w:val="000000"/>
                <w:sz w:val="28"/>
                <w:szCs w:val="28"/>
                <w:u w:val="none" w:color="auto"/>
                <w:shd w:val="clear" w:color="auto" w:fill="auto"/>
              </w:rPr>
              <w:t>2.提升服务能力</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olor w:val="000000"/>
                <w:sz w:val="28"/>
                <w:szCs w:val="28"/>
                <w:u w:val="none" w:color="auto"/>
                <w:shd w:val="clear" w:color="auto" w:fill="auto"/>
              </w:rPr>
            </w:pPr>
            <w:r>
              <w:rPr>
                <w:rFonts w:hint="eastAsia" w:ascii="仿宋" w:hAnsi="仿宋" w:eastAsia="仿宋"/>
                <w:color w:val="000000"/>
                <w:sz w:val="28"/>
                <w:szCs w:val="28"/>
                <w:u w:val="none" w:color="auto"/>
                <w:shd w:val="clear" w:color="auto" w:fill="auto"/>
              </w:rPr>
              <w:t>推动</w:t>
            </w:r>
            <w:r>
              <w:rPr>
                <w:rFonts w:hint="eastAsia" w:ascii="仿宋" w:hAnsi="仿宋" w:eastAsia="仿宋"/>
                <w:color w:val="000000"/>
                <w:sz w:val="28"/>
                <w:szCs w:val="28"/>
                <w:u w:val="none" w:color="auto"/>
                <w:shd w:val="clear" w:color="auto" w:fill="auto"/>
                <w:lang w:eastAsia="zh-CN"/>
              </w:rPr>
              <w:t>苏木</w:t>
            </w:r>
            <w:r>
              <w:rPr>
                <w:rFonts w:hint="eastAsia" w:ascii="仿宋" w:hAnsi="仿宋" w:eastAsia="仿宋"/>
                <w:color w:val="000000"/>
                <w:sz w:val="28"/>
                <w:szCs w:val="28"/>
                <w:u w:val="none" w:color="auto"/>
                <w:shd w:val="clear" w:color="auto" w:fill="auto"/>
              </w:rPr>
              <w:t>乡镇（街道）设立未成年人保护工作站或指定专门人员承担未成年人保护工作，到2025年底，</w:t>
            </w:r>
            <w:r>
              <w:rPr>
                <w:rFonts w:hint="eastAsia" w:ascii="仿宋" w:hAnsi="仿宋" w:eastAsia="仿宋"/>
                <w:color w:val="000000"/>
                <w:sz w:val="28"/>
                <w:szCs w:val="28"/>
                <w:u w:val="none" w:color="auto"/>
                <w:shd w:val="clear" w:color="auto" w:fill="auto"/>
                <w:lang w:eastAsia="zh-CN"/>
              </w:rPr>
              <w:t>苏木</w:t>
            </w:r>
            <w:r>
              <w:rPr>
                <w:rFonts w:hint="eastAsia" w:ascii="仿宋" w:hAnsi="仿宋" w:eastAsia="仿宋"/>
                <w:color w:val="000000"/>
                <w:sz w:val="28"/>
                <w:szCs w:val="28"/>
                <w:u w:val="none" w:color="auto"/>
                <w:shd w:val="clear" w:color="auto" w:fill="auto"/>
              </w:rPr>
              <w:t>乡镇（街道）未成年人保护工作站覆盖率达到50%，</w:t>
            </w:r>
            <w:r>
              <w:rPr>
                <w:rFonts w:hint="eastAsia" w:ascii="仿宋" w:hAnsi="仿宋" w:eastAsia="仿宋"/>
                <w:color w:val="000000"/>
                <w:sz w:val="28"/>
                <w:szCs w:val="28"/>
                <w:u w:val="none" w:color="auto"/>
                <w:shd w:val="clear" w:color="auto" w:fill="auto"/>
                <w:lang w:eastAsia="zh-CN"/>
              </w:rPr>
              <w:t>苏木</w:t>
            </w:r>
            <w:r>
              <w:rPr>
                <w:rFonts w:hint="eastAsia" w:ascii="仿宋" w:hAnsi="仿宋" w:eastAsia="仿宋"/>
                <w:color w:val="000000"/>
                <w:sz w:val="28"/>
                <w:szCs w:val="28"/>
                <w:u w:val="none" w:color="auto"/>
                <w:shd w:val="clear" w:color="auto" w:fill="auto"/>
              </w:rPr>
              <w:t>乡镇（街道）工作专干实现全覆盖。推动村（居）委会设立专人专岗。加大村居儿童主任培训力度，参训率达到100%。</w:t>
            </w:r>
          </w:p>
        </w:tc>
      </w:tr>
      <w:bookmarkEnd w:id="54"/>
      <w:bookmarkEnd w:id="55"/>
    </w:tbl>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56" w:name="_Toc26770"/>
      <w:r>
        <w:rPr>
          <w:rFonts w:hint="eastAsia" w:ascii="楷体" w:hAnsi="楷体" w:eastAsia="楷体" w:cs="楷体"/>
          <w:bCs/>
          <w:color w:val="000000"/>
          <w:sz w:val="32"/>
          <w:szCs w:val="32"/>
          <w:u w:val="none" w:color="auto"/>
          <w:shd w:val="clear" w:color="auto" w:fill="auto"/>
        </w:rPr>
        <w:t xml:space="preserve">第三节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加强儿童保障和留守儿童、留守妇女关爱</w:t>
      </w:r>
      <w:bookmarkEnd w:id="56"/>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pacing w:val="-6"/>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完善农村留守儿童关爱保护和困境儿童保障体系</w:t>
      </w:r>
      <w:r>
        <w:rPr>
          <w:rFonts w:hint="eastAsia" w:ascii="仿宋" w:hAnsi="仿宋" w:eastAsia="仿宋" w:cs="仿宋"/>
          <w:color w:val="000000"/>
          <w:sz w:val="32"/>
          <w:szCs w:val="32"/>
          <w:u w:val="none" w:color="auto"/>
          <w:shd w:val="clear" w:color="auto" w:fill="auto"/>
        </w:rPr>
        <w:t>。完善农村牧区留守儿童、困境儿童强制报告、应急处置、评估帮扶、监护干预“四位一体”的救助保护机制，落实好农村牧区留守儿童监护责任。将重病重残儿童、流浪儿童、贫困儿童等困境儿童纳入保障。完善未成年人保护制度和工作机制，在监护、福利、法律援助等方面增强关爱保护力度。增加心理、精神层面服务内容，</w:t>
      </w:r>
      <w:r>
        <w:rPr>
          <w:rFonts w:hint="eastAsia" w:ascii="仿宋" w:hAnsi="仿宋" w:eastAsia="仿宋" w:cs="仿宋"/>
          <w:color w:val="000000"/>
          <w:spacing w:val="-6"/>
          <w:sz w:val="32"/>
          <w:szCs w:val="32"/>
          <w:u w:val="none" w:color="auto"/>
          <w:shd w:val="clear" w:color="auto" w:fill="auto"/>
        </w:rPr>
        <w:t>通过购买服务等方式引入社会工作专业人才和专业康复机构，改善困境儿童生活和心理健康状况。加强儿童福利和儿童保护人才队伍建设，建立常态化培训机制，鼓励引导更多社会工作服务机构为孤儿、事实无人抚养儿童、留守儿童和困境儿童提供专业化服务。培育发展儿童福利</w:t>
      </w:r>
      <w:r>
        <w:rPr>
          <w:rFonts w:hint="eastAsia" w:ascii="仿宋" w:hAnsi="仿宋" w:eastAsia="仿宋" w:cs="仿宋"/>
          <w:color w:val="000000"/>
          <w:spacing w:val="-6"/>
          <w:sz w:val="32"/>
          <w:szCs w:val="32"/>
          <w:u w:val="none" w:color="auto"/>
          <w:shd w:val="clear" w:color="auto" w:fill="auto"/>
          <w:lang w:eastAsia="zh-CN"/>
        </w:rPr>
        <w:t>服务</w:t>
      </w:r>
      <w:r>
        <w:rPr>
          <w:rFonts w:hint="eastAsia" w:ascii="仿宋" w:hAnsi="仿宋" w:eastAsia="仿宋" w:cs="仿宋"/>
          <w:color w:val="000000"/>
          <w:spacing w:val="-6"/>
          <w:sz w:val="32"/>
          <w:szCs w:val="32"/>
          <w:u w:val="none" w:color="auto"/>
          <w:shd w:val="clear" w:color="auto" w:fill="auto"/>
        </w:rPr>
        <w:t>专业化评估和服务机构，推进儿童关爱服务纳入各级政府购买服务目录。加强基层儿童工作队伍建设，到2025年底，实现苏木乡镇（街道）儿童督导员、嘎查村（居）儿童主任配备以及新任职培训“两个全覆盖”</w:t>
      </w:r>
      <w:r>
        <w:rPr>
          <w:rFonts w:hint="eastAsia" w:ascii="仿宋" w:hAnsi="仿宋" w:eastAsia="仿宋" w:cs="仿宋"/>
          <w:color w:val="000000"/>
          <w:spacing w:val="-6"/>
          <w:sz w:val="32"/>
          <w:szCs w:val="32"/>
          <w:u w:val="none" w:color="auto"/>
          <w:shd w:val="clear" w:color="auto" w:fill="auto"/>
          <w:lang w:eastAsia="zh-CN"/>
        </w:rPr>
        <w:t>。</w:t>
      </w:r>
      <w:r>
        <w:rPr>
          <w:rFonts w:hint="eastAsia" w:ascii="仿宋" w:hAnsi="仿宋" w:eastAsia="仿宋" w:cs="仿宋"/>
          <w:color w:val="000000"/>
          <w:spacing w:val="-6"/>
          <w:sz w:val="32"/>
          <w:szCs w:val="32"/>
          <w:u w:val="none" w:color="auto"/>
          <w:shd w:val="clear" w:color="auto" w:fill="auto"/>
        </w:rPr>
        <w:t>盟市、旗县</w:t>
      </w:r>
      <w:r>
        <w:rPr>
          <w:rFonts w:hint="eastAsia" w:ascii="仿宋" w:hAnsi="仿宋" w:eastAsia="仿宋" w:cs="仿宋"/>
          <w:color w:val="000000"/>
          <w:spacing w:val="-6"/>
          <w:sz w:val="32"/>
          <w:szCs w:val="32"/>
          <w:u w:val="none" w:color="auto"/>
          <w:shd w:val="clear" w:color="auto" w:fill="auto"/>
          <w:lang w:eastAsia="zh-CN"/>
        </w:rPr>
        <w:t>（市、区）</w:t>
      </w:r>
      <w:r>
        <w:rPr>
          <w:rFonts w:hint="eastAsia" w:ascii="仿宋" w:hAnsi="仿宋" w:eastAsia="仿宋" w:cs="仿宋"/>
          <w:color w:val="000000"/>
          <w:spacing w:val="-6"/>
          <w:sz w:val="32"/>
          <w:szCs w:val="32"/>
          <w:u w:val="none" w:color="auto"/>
          <w:shd w:val="clear" w:color="auto" w:fill="auto"/>
        </w:rPr>
        <w:t>儿童福利工作人员培训率达到100%。组织开展未成年人保护工作示范创建活动，打造一批制度健全、机制有效、措施有力、服务规范的示范市县，为提高新时代未成年人保护工作水平提供示范。</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开展农村留守妇女关爱行动</w:t>
      </w:r>
      <w:r>
        <w:rPr>
          <w:rFonts w:hint="eastAsia" w:ascii="仿宋" w:hAnsi="仿宋" w:eastAsia="仿宋" w:cs="仿宋"/>
          <w:color w:val="000000"/>
          <w:sz w:val="32"/>
          <w:szCs w:val="32"/>
          <w:u w:val="none" w:color="auto"/>
          <w:shd w:val="clear" w:color="auto" w:fill="auto"/>
        </w:rPr>
        <w:t>。建立健全农村留守妇女信息台账，精准到户、建档到人。实行动态管理，加强农村留守妇女精神关爱和</w:t>
      </w:r>
      <w:r>
        <w:rPr>
          <w:rFonts w:hint="eastAsia" w:ascii="仿宋" w:hAnsi="仿宋" w:eastAsia="仿宋" w:cs="仿宋"/>
          <w:color w:val="000000"/>
          <w:sz w:val="32"/>
          <w:szCs w:val="32"/>
          <w:u w:val="none" w:color="auto"/>
          <w:shd w:val="clear" w:color="auto" w:fill="auto"/>
          <w:lang w:eastAsia="zh-CN"/>
        </w:rPr>
        <w:t>家庭教育</w:t>
      </w:r>
      <w:r>
        <w:rPr>
          <w:rFonts w:hint="eastAsia" w:ascii="仿宋" w:hAnsi="仿宋" w:eastAsia="仿宋" w:cs="仿宋"/>
          <w:color w:val="000000"/>
          <w:sz w:val="32"/>
          <w:szCs w:val="32"/>
          <w:u w:val="none" w:color="auto"/>
          <w:shd w:val="clear" w:color="auto" w:fill="auto"/>
        </w:rPr>
        <w:t>支持，以家庭为中心增强农村留守妇女家庭监护主体责任意识。建立完善政策措施，提升农村留守妇女关爱服务水平，将符合条件的农村留守妇女家庭纳入最低生活保障、临时救助等社会救助范围。利用平台、强化项目，带动农村留守妇女在“家门口就业”，丰富农村留守妇女的精神文化生活。</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57" w:name="_Toc12863"/>
      <w:r>
        <w:rPr>
          <w:rFonts w:hint="eastAsia" w:ascii="楷体" w:hAnsi="楷体" w:eastAsia="楷体" w:cs="楷体"/>
          <w:bCs/>
          <w:color w:val="000000"/>
          <w:sz w:val="32"/>
          <w:szCs w:val="32"/>
          <w:u w:val="none" w:color="auto"/>
          <w:shd w:val="clear" w:color="auto" w:fill="auto"/>
        </w:rPr>
        <w:t>第四节</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 xml:space="preserve"> 推进地名管理和公共服务体系建设</w:t>
      </w:r>
      <w:bookmarkEnd w:id="57"/>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27" w:firstLineChars="196"/>
        <w:textAlignment w:val="auto"/>
        <w:rPr>
          <w:rFonts w:ascii="仿宋" w:hAnsi="仿宋" w:eastAsia="仿宋" w:cs="仿宋"/>
          <w:color w:val="000000"/>
          <w:sz w:val="32"/>
          <w:szCs w:val="32"/>
          <w:u w:val="none" w:color="auto"/>
          <w:shd w:val="clear" w:color="auto" w:fill="auto"/>
        </w:rPr>
      </w:pPr>
      <w:bookmarkStart w:id="58" w:name="_Toc11089"/>
      <w:r>
        <w:rPr>
          <w:rFonts w:hint="eastAsia" w:ascii="仿宋" w:hAnsi="仿宋" w:eastAsia="仿宋" w:cs="仿宋"/>
          <w:b w:val="0"/>
          <w:bCs w:val="0"/>
          <w:color w:val="000000"/>
          <w:sz w:val="32"/>
          <w:szCs w:val="32"/>
          <w:u w:val="none" w:color="auto"/>
          <w:shd w:val="clear" w:color="auto" w:fill="auto"/>
        </w:rPr>
        <w:t>健全完善地名管理政策法规。</w:t>
      </w:r>
      <w:r>
        <w:rPr>
          <w:rFonts w:hint="eastAsia" w:ascii="仿宋" w:hAnsi="仿宋" w:eastAsia="仿宋" w:cs="仿宋"/>
          <w:color w:val="000000"/>
          <w:sz w:val="32"/>
          <w:szCs w:val="32"/>
          <w:u w:val="none" w:color="auto"/>
          <w:shd w:val="clear" w:color="auto" w:fill="auto"/>
        </w:rPr>
        <w:t>做好《地名管理条例》修订出台后的宣传贯彻工作，适时修订《内蒙古自治区地名管理规定》。规范地名审批，加强地名命名更名管理。加强标准地名的推广应用，引导社会各界规范使用地名。充分调动各部门、社会各界参与地名管理服务</w:t>
      </w:r>
      <w:r>
        <w:rPr>
          <w:rFonts w:hint="eastAsia" w:ascii="仿宋" w:hAnsi="仿宋" w:eastAsia="仿宋" w:cs="仿宋"/>
          <w:color w:val="000000"/>
          <w:sz w:val="32"/>
          <w:szCs w:val="32"/>
          <w:u w:val="none" w:color="auto"/>
          <w:shd w:val="clear" w:color="auto" w:fill="auto"/>
          <w:lang w:eastAsia="zh-CN"/>
        </w:rPr>
        <w:t>的</w:t>
      </w:r>
      <w:r>
        <w:rPr>
          <w:rFonts w:hint="eastAsia" w:ascii="仿宋" w:hAnsi="仿宋" w:eastAsia="仿宋" w:cs="仿宋"/>
          <w:color w:val="000000"/>
          <w:sz w:val="32"/>
          <w:szCs w:val="32"/>
          <w:u w:val="none" w:color="auto"/>
          <w:shd w:val="clear" w:color="auto" w:fill="auto"/>
        </w:rPr>
        <w:t>积极性，建立地名管理专家库。</w:t>
      </w:r>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27" w:firstLineChars="196"/>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提升地名公共服务和信息化水平。</w:t>
      </w:r>
      <w:r>
        <w:rPr>
          <w:rFonts w:hint="eastAsia" w:ascii="仿宋" w:hAnsi="仿宋" w:eastAsia="仿宋" w:cs="仿宋"/>
          <w:color w:val="000000"/>
          <w:sz w:val="32"/>
          <w:szCs w:val="32"/>
          <w:u w:val="none" w:color="auto"/>
          <w:shd w:val="clear" w:color="auto" w:fill="auto"/>
        </w:rPr>
        <w:t>根据国家标准及区情，制定自治区地名标志设置规范，探索设置新型地名标志，做好地名标志设置和维护工作，进一步完善地名标志导向体系。借助现代电子信息和物联网手段，拓展地名服务形式和内容，提升地名管理服务效能，为社会提供更加准确、便捷的地名导向和信息服务。健全区划地名信息更新维护长效机制，做好</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中国·国家地名信息库</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维护工作，按年度更新自治区地名信息，构建自治区、盟市、旗县（市、区）三级区划地名数据现势性较强的资源共享体系。激活区划地名信息大数据应用，通过区划地名数据共享平台，为地区科学决策、促进经济社会发展提供高效、便捷的信息服务。</w:t>
      </w:r>
    </w:p>
    <w:p>
      <w:pPr>
        <w:keepNext w:val="0"/>
        <w:keepLines w:val="0"/>
        <w:pageBreakBefore w:val="0"/>
        <w:kinsoku/>
        <w:wordWrap/>
        <w:overflowPunct/>
        <w:topLinePunct w:val="0"/>
        <w:autoSpaceDE/>
        <w:autoSpaceDN/>
        <w:bidi w:val="0"/>
        <w:spacing w:beforeAutospacing="0" w:line="580" w:lineRule="exact"/>
        <w:ind w:left="0" w:firstLine="640" w:firstLineChars="200"/>
        <w:textAlignment w:val="auto"/>
      </w:pPr>
      <w:r>
        <w:rPr>
          <w:rFonts w:hint="eastAsia" w:ascii="仿宋" w:hAnsi="仿宋" w:eastAsia="仿宋" w:cs="仿宋"/>
          <w:b w:val="0"/>
          <w:bCs w:val="0"/>
          <w:color w:val="000000"/>
          <w:sz w:val="32"/>
          <w:szCs w:val="32"/>
          <w:u w:val="none" w:color="auto"/>
          <w:shd w:val="clear" w:color="auto" w:fill="auto"/>
        </w:rPr>
        <w:t>积极开展地名文化保护和利用。</w:t>
      </w:r>
      <w:r>
        <w:rPr>
          <w:rFonts w:hint="eastAsia" w:ascii="仿宋" w:hAnsi="仿宋" w:eastAsia="仿宋" w:cs="仿宋"/>
          <w:color w:val="000000"/>
          <w:sz w:val="32"/>
          <w:szCs w:val="32"/>
          <w:u w:val="none" w:color="auto"/>
          <w:shd w:val="clear" w:color="auto" w:fill="auto"/>
        </w:rPr>
        <w:t>建立地名文化遗产保护制度和地名文化遗产保护名录，加强地名文化遗产保护。指导盟市完成地名志编纂工作，传承和弘扬地名文化。制作地名文化纪录片，积极开展地名文化活动，创新地名文化宣传方式，丰富地名文化产品，展示地名文化内涵。</w:t>
      </w:r>
    </w:p>
    <w:bookmarkEnd w:id="47"/>
    <w:bookmarkEnd w:id="48"/>
    <w:bookmarkEnd w:id="58"/>
    <w:tbl>
      <w:tblPr>
        <w:tblStyle w:val="14"/>
        <w:tblpPr w:leftFromText="180" w:rightFromText="180" w:vertAnchor="text" w:horzAnchor="page" w:tblpXSpec="center" w:tblpY="2"/>
        <w:tblOverlap w:val="never"/>
        <w:tblW w:w="8972" w:type="dxa"/>
        <w:jc w:val="center"/>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3" w:hRule="atLeast"/>
          <w:jc w:val="center"/>
        </w:trPr>
        <w:tc>
          <w:tcPr>
            <w:tcW w:w="89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snapToGrid/>
              <w:spacing w:beforeAutospacing="0" w:line="580" w:lineRule="exact"/>
              <w:ind w:left="0"/>
              <w:jc w:val="center"/>
              <w:textAlignment w:val="auto"/>
              <w:rPr>
                <w:rFonts w:ascii="仿宋" w:hAnsi="仿宋" w:eastAsia="仿宋" w:cs="仿宋"/>
                <w:color w:val="000000"/>
                <w:sz w:val="32"/>
                <w:szCs w:val="32"/>
                <w:u w:val="none" w:color="auto"/>
                <w:shd w:val="clear" w:color="auto" w:fill="auto"/>
              </w:rPr>
            </w:pPr>
            <w:bookmarkStart w:id="59" w:name="_Toc10196"/>
            <w:bookmarkStart w:id="60" w:name="_Toc32192"/>
            <w:bookmarkStart w:id="61" w:name="_Toc5870"/>
            <w:r>
              <w:rPr>
                <w:rFonts w:hint="eastAsia" w:ascii="黑体" w:hAnsi="黑体" w:eastAsia="黑体" w:cs="黑体"/>
                <w:bCs/>
                <w:color w:val="000000"/>
                <w:sz w:val="32"/>
                <w:szCs w:val="32"/>
                <w:u w:val="none" w:color="auto"/>
                <w:shd w:val="clear" w:color="auto" w:fill="auto"/>
              </w:rPr>
              <w:t>专栏6  地名服务工程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17" w:hRule="atLeast"/>
          <w:jc w:val="center"/>
        </w:trPr>
        <w:tc>
          <w:tcPr>
            <w:tcW w:w="89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beforeAutospacing="0" w:line="38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1.地名信息服务</w:t>
            </w:r>
          </w:p>
          <w:p>
            <w:pPr>
              <w:pStyle w:val="17"/>
              <w:keepNext w:val="0"/>
              <w:keepLines w:val="0"/>
              <w:pageBreakBefore w:val="0"/>
              <w:widowControl w:val="0"/>
              <w:kinsoku/>
              <w:wordWrap/>
              <w:overflowPunct/>
              <w:topLinePunct w:val="0"/>
              <w:autoSpaceDE/>
              <w:autoSpaceDN/>
              <w:bidi w:val="0"/>
              <w:adjustRightInd/>
              <w:snapToGrid/>
              <w:spacing w:beforeAutospacing="0" w:line="380" w:lineRule="exact"/>
              <w:ind w:left="0" w:firstLine="560"/>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以提升管理服务水平，夯实数据基础，规范日常管理，拓展社会服务为重点，建设自治区地名信息库，实现与中国·国家地名信息库数据对接。利用互联网、大数据等技术手段提升地名管理服务效能，充分发挥地名信息基础性、服务性作用。</w:t>
            </w:r>
          </w:p>
          <w:p>
            <w:pPr>
              <w:pStyle w:val="17"/>
              <w:keepNext w:val="0"/>
              <w:keepLines w:val="0"/>
              <w:pageBreakBefore w:val="0"/>
              <w:widowControl w:val="0"/>
              <w:kinsoku/>
              <w:wordWrap/>
              <w:overflowPunct/>
              <w:topLinePunct w:val="0"/>
              <w:autoSpaceDE/>
              <w:autoSpaceDN/>
              <w:bidi w:val="0"/>
              <w:adjustRightInd/>
              <w:snapToGrid/>
              <w:spacing w:beforeAutospacing="0" w:line="38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2.标准地名推广</w:t>
            </w:r>
          </w:p>
          <w:p>
            <w:pPr>
              <w:pStyle w:val="17"/>
              <w:keepNext w:val="0"/>
              <w:keepLines w:val="0"/>
              <w:pageBreakBefore w:val="0"/>
              <w:widowControl w:val="0"/>
              <w:kinsoku/>
              <w:wordWrap/>
              <w:overflowPunct/>
              <w:topLinePunct w:val="0"/>
              <w:autoSpaceDE/>
              <w:autoSpaceDN/>
              <w:bidi w:val="0"/>
              <w:adjustRightInd/>
              <w:snapToGrid/>
              <w:spacing w:beforeAutospacing="0" w:line="380" w:lineRule="exact"/>
              <w:ind w:left="0" w:firstLine="560"/>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加强地名用字、拼写管理，以编纂《内蒙古自治区行政区划简册》为载体，推动标准地名使用。</w:t>
            </w:r>
          </w:p>
          <w:p>
            <w:pPr>
              <w:pStyle w:val="17"/>
              <w:keepNext w:val="0"/>
              <w:keepLines w:val="0"/>
              <w:pageBreakBefore w:val="0"/>
              <w:widowControl w:val="0"/>
              <w:kinsoku/>
              <w:wordWrap/>
              <w:overflowPunct/>
              <w:topLinePunct w:val="0"/>
              <w:autoSpaceDE/>
              <w:autoSpaceDN/>
              <w:bidi w:val="0"/>
              <w:adjustRightInd/>
              <w:snapToGrid/>
              <w:spacing w:beforeAutospacing="0" w:line="380" w:lineRule="exact"/>
              <w:ind w:left="0" w:firstLine="562"/>
              <w:textAlignment w:val="auto"/>
              <w:rPr>
                <w:rFonts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3.地名文化宣传弘扬</w:t>
            </w:r>
          </w:p>
          <w:p>
            <w:pPr>
              <w:pStyle w:val="17"/>
              <w:keepNext w:val="0"/>
              <w:keepLines w:val="0"/>
              <w:pageBreakBefore w:val="0"/>
              <w:widowControl w:val="0"/>
              <w:kinsoku/>
              <w:wordWrap/>
              <w:overflowPunct/>
              <w:topLinePunct w:val="0"/>
              <w:autoSpaceDE/>
              <w:autoSpaceDN/>
              <w:bidi w:val="0"/>
              <w:adjustRightInd/>
              <w:snapToGrid/>
              <w:spacing w:beforeAutospacing="0" w:line="380" w:lineRule="exact"/>
              <w:ind w:left="0" w:firstLine="56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28"/>
                <w:szCs w:val="28"/>
                <w:u w:val="none" w:color="auto"/>
                <w:shd w:val="clear" w:color="auto" w:fill="auto"/>
              </w:rPr>
              <w:t>制作地名文化纪录片，指导盟市开展多样化地名文化宣传活动，利用普及面广、传播速度快、可视化强的方式宣传弘扬优秀地名文化。</w:t>
            </w:r>
          </w:p>
        </w:tc>
      </w:tr>
    </w:tbl>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color w:val="000000"/>
          <w:sz w:val="32"/>
          <w:szCs w:val="32"/>
          <w:u w:val="none" w:color="auto"/>
          <w:shd w:val="clear" w:color="auto" w:fill="auto"/>
        </w:rPr>
      </w:pPr>
      <w:bookmarkStart w:id="62" w:name="_Toc31202"/>
      <w:r>
        <w:rPr>
          <w:rFonts w:hint="eastAsia" w:ascii="楷体" w:hAnsi="楷体" w:eastAsia="楷体" w:cs="楷体"/>
          <w:color w:val="000000"/>
          <w:sz w:val="32"/>
          <w:szCs w:val="32"/>
          <w:u w:val="none" w:color="auto"/>
          <w:shd w:val="clear" w:color="auto" w:fill="auto"/>
        </w:rPr>
        <w:t>第五节</w:t>
      </w:r>
      <w:r>
        <w:rPr>
          <w:rFonts w:hint="eastAsia" w:ascii="楷体" w:hAnsi="楷体" w:eastAsia="楷体" w:cs="楷体"/>
          <w:color w:val="000000"/>
          <w:sz w:val="32"/>
          <w:szCs w:val="32"/>
          <w:u w:val="none" w:color="auto"/>
          <w:shd w:val="clear" w:color="auto" w:fill="auto"/>
          <w:lang w:val="en-US" w:eastAsia="zh-CN"/>
        </w:rPr>
        <w:t xml:space="preserve"> </w:t>
      </w:r>
      <w:r>
        <w:rPr>
          <w:rFonts w:hint="eastAsia" w:ascii="楷体" w:hAnsi="楷体" w:eastAsia="楷体" w:cs="楷体"/>
          <w:color w:val="000000"/>
          <w:sz w:val="32"/>
          <w:szCs w:val="32"/>
          <w:u w:val="none" w:color="auto"/>
          <w:shd w:val="clear" w:color="auto" w:fill="auto"/>
        </w:rPr>
        <w:t xml:space="preserve"> 提高康复辅助器具助老助残能力</w:t>
      </w:r>
      <w:bookmarkEnd w:id="62"/>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构建现代康复辅助器具产业格局。</w:t>
      </w:r>
      <w:r>
        <w:rPr>
          <w:rFonts w:hint="eastAsia" w:ascii="仿宋" w:hAnsi="仿宋" w:eastAsia="仿宋" w:cs="仿宋"/>
          <w:color w:val="000000"/>
          <w:sz w:val="32"/>
          <w:szCs w:val="32"/>
          <w:u w:val="none" w:color="auto"/>
          <w:shd w:val="clear" w:color="auto" w:fill="auto"/>
        </w:rPr>
        <w:t>推动自治区康复辅助器具中心发展，提高康复辅助器具制作和配置服务的信息化、数字化、智能化水平。继续实施“助康工程”项目，免费为贫困残疾人开展手术矫治及康复训练、配置康复辅助器具。逐步扩大康复服务和基本辅具适配服务覆盖范围。</w:t>
      </w:r>
    </w:p>
    <w:p>
      <w:pPr>
        <w:keepNext w:val="0"/>
        <w:keepLines w:val="0"/>
        <w:pageBreakBefore w:val="0"/>
        <w:widowControl w:val="0"/>
        <w:kinsoku/>
        <w:wordWrap/>
        <w:overflowPunct/>
        <w:topLinePunct w:val="0"/>
        <w:autoSpaceDE/>
        <w:autoSpaceDN/>
        <w:bidi w:val="0"/>
        <w:adjustRightInd w:val="0"/>
        <w:snapToGrid/>
        <w:spacing w:beforeAutospacing="0" w:line="580" w:lineRule="exact"/>
        <w:ind w:left="0" w:firstLine="64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创新驱动产业升级。</w:t>
      </w:r>
      <w:r>
        <w:rPr>
          <w:rFonts w:hint="eastAsia" w:ascii="仿宋" w:hAnsi="仿宋" w:eastAsia="仿宋" w:cs="仿宋"/>
          <w:color w:val="000000"/>
          <w:sz w:val="32"/>
          <w:szCs w:val="32"/>
          <w:u w:val="none" w:color="auto"/>
          <w:shd w:val="clear" w:color="auto" w:fill="auto"/>
        </w:rPr>
        <w:t>围绕康复辅助器具领域重大基础理论、关键核心技术及重要产品的创新需求，搭建产学研联合攻关平台，促进高校、企业、科研院所共同解决产业创新发展的痛点难点。支持专业机构与政府通过合作共建，打造产业创新中心、产品服务信息平台、中试转化基地、成果交易和检验检测认证平台等区域产业公共创新平台。</w:t>
      </w:r>
    </w:p>
    <w:p>
      <w:pPr>
        <w:keepNext w:val="0"/>
        <w:keepLines w:val="0"/>
        <w:pageBreakBefore w:val="0"/>
        <w:widowControl w:val="0"/>
        <w:kinsoku/>
        <w:wordWrap/>
        <w:overflowPunct/>
        <w:topLinePunct w:val="0"/>
        <w:autoSpaceDE/>
        <w:autoSpaceDN/>
        <w:bidi w:val="0"/>
        <w:adjustRightInd w:val="0"/>
        <w:snapToGrid/>
        <w:spacing w:beforeAutospacing="0" w:line="580" w:lineRule="exact"/>
        <w:ind w:left="0" w:firstLine="64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推动健全支付保障体系。</w:t>
      </w:r>
      <w:r>
        <w:rPr>
          <w:rFonts w:hint="eastAsia" w:ascii="仿宋" w:hAnsi="仿宋" w:eastAsia="仿宋" w:cs="仿宋"/>
          <w:color w:val="000000"/>
          <w:sz w:val="32"/>
          <w:szCs w:val="32"/>
          <w:u w:val="none" w:color="auto"/>
          <w:shd w:val="clear" w:color="auto" w:fill="auto"/>
        </w:rPr>
        <w:t>支持有条件的地方将康复辅助器具配置纳入长期护理保险保障范围，鼓励重度失能人员等使用适宜有效的康复辅助器具。以恢复健康、回归社会为原则，推动扩展工伤保险中的康复辅助器具支付范围，鼓励有条件的地方将基本治疗性康复辅助器具逐步纳入基本医疗保险支付范围。鼓励商业保险公司将康复辅助器具配置纳入保险产品支付范围。推动制定基本型康复辅助器具补贴制度。鼓励有条件的地方为失能、重残等特殊困难群体配置康复辅助器具。</w:t>
      </w:r>
    </w:p>
    <w:p>
      <w:pPr>
        <w:keepNext w:val="0"/>
        <w:keepLines w:val="0"/>
        <w:pageBreakBefore w:val="0"/>
        <w:widowControl w:val="0"/>
        <w:kinsoku/>
        <w:wordWrap/>
        <w:overflowPunct/>
        <w:topLinePunct w:val="0"/>
        <w:autoSpaceDE/>
        <w:autoSpaceDN/>
        <w:bidi w:val="0"/>
        <w:snapToGrid/>
        <w:spacing w:beforeAutospacing="0" w:line="580" w:lineRule="exact"/>
        <w:ind w:left="0" w:firstLine="64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增强现代服务能力。</w:t>
      </w:r>
      <w:r>
        <w:rPr>
          <w:rFonts w:hint="eastAsia" w:ascii="仿宋" w:hAnsi="仿宋" w:eastAsia="仿宋" w:cs="仿宋"/>
          <w:color w:val="000000"/>
          <w:sz w:val="32"/>
          <w:szCs w:val="32"/>
          <w:u w:val="none" w:color="auto"/>
          <w:shd w:val="clear" w:color="auto" w:fill="auto"/>
        </w:rPr>
        <w:t>深化人工智能、大数据、5G等技术在康复辅助器具配置服务中的应用，开展云端适配、个性化智造、智能共享租赁等服务。依托现有养老助残设施，支持多种方式建立康复辅助器具科普展示、配置服务专区。鼓励有条件的地方开展康复辅助器具社区租赁服务试点，促进康复辅助器具进家庭进社区进机构。</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0"/>
        <w:textAlignment w:val="auto"/>
        <w:rPr>
          <w:rFonts w:hint="eastAsia" w:ascii="仿宋" w:hAnsi="仿宋" w:eastAsia="仿宋" w:cs="仿宋"/>
          <w:snapToGrid w:val="0"/>
          <w:color w:val="000000"/>
          <w:spacing w:val="-6"/>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完善产品质量管理体系。</w:t>
      </w:r>
      <w:r>
        <w:rPr>
          <w:rFonts w:hint="eastAsia" w:ascii="仿宋" w:hAnsi="仿宋" w:eastAsia="仿宋" w:cs="仿宋"/>
          <w:color w:val="000000"/>
          <w:sz w:val="32"/>
          <w:szCs w:val="32"/>
          <w:u w:val="none" w:color="auto"/>
          <w:shd w:val="clear" w:color="auto" w:fill="auto"/>
        </w:rPr>
        <w:t>开展康复辅助器具监督管理体系研究。支持建设质量检验区域示范中心和质量认证机构，鼓励在政</w:t>
      </w:r>
      <w:r>
        <w:rPr>
          <w:rFonts w:hint="eastAsia" w:ascii="仿宋" w:hAnsi="仿宋" w:eastAsia="仿宋" w:cs="仿宋"/>
          <w:snapToGrid w:val="0"/>
          <w:color w:val="000000"/>
          <w:spacing w:val="-6"/>
          <w:sz w:val="32"/>
          <w:szCs w:val="32"/>
          <w:u w:val="none" w:color="auto"/>
          <w:shd w:val="clear" w:color="auto" w:fill="auto"/>
        </w:rPr>
        <w:t>府采购中充分发挥各级质检机构和认证机构的质量监督保障作用。</w:t>
      </w:r>
    </w:p>
    <w:tbl>
      <w:tblPr>
        <w:tblStyle w:val="14"/>
        <w:tblpPr w:leftFromText="180" w:rightFromText="180" w:vertAnchor="text" w:horzAnchor="page" w:tblpXSpec="center" w:tblpY="2"/>
        <w:tblOverlap w:val="never"/>
        <w:tblW w:w="874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3" w:hRule="atLeast"/>
          <w:jc w:val="center"/>
        </w:trPr>
        <w:tc>
          <w:tcPr>
            <w:tcW w:w="874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jc w:val="center"/>
              <w:textAlignment w:val="auto"/>
              <w:rPr>
                <w:rFonts w:ascii="仿宋" w:hAnsi="仿宋" w:eastAsia="仿宋" w:cs="仿宋"/>
                <w:color w:val="000000"/>
                <w:sz w:val="32"/>
                <w:szCs w:val="32"/>
                <w:u w:val="none" w:color="auto"/>
                <w:shd w:val="clear" w:color="auto" w:fill="auto"/>
              </w:rPr>
            </w:pPr>
            <w:r>
              <w:rPr>
                <w:rFonts w:hint="eastAsia" w:ascii="黑体" w:hAnsi="黑体" w:eastAsia="黑体" w:cs="黑体"/>
                <w:bCs/>
                <w:color w:val="000000"/>
                <w:sz w:val="32"/>
                <w:szCs w:val="32"/>
                <w:u w:val="none" w:color="auto"/>
                <w:shd w:val="clear" w:color="auto" w:fill="auto"/>
              </w:rPr>
              <w:t>专栏7  康复辅助器具产业发展工程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00" w:hRule="atLeast"/>
          <w:jc w:val="center"/>
        </w:trPr>
        <w:tc>
          <w:tcPr>
            <w:tcW w:w="8746"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1.推广康复辅助器具示范应用</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推动康复辅助器具产业发展。发挥内蒙古康复辅助器具中心资源优势，选取适合的养老助残机构，推动建设高水平、广覆盖的康复辅助器具应用示范模式，开展康复辅助器具在多场景应用、医养康养相结合、养老应急救援等方面的示范推广。开展康复辅助器具公益宣传活动，提高功能障碍群体自主自助选择和使用康复辅助器具的能力。</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2.建设产业公共服务平台</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0" w:firstLineChars="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28"/>
                <w:szCs w:val="28"/>
                <w:u w:val="none" w:color="auto"/>
                <w:shd w:val="clear" w:color="auto" w:fill="auto"/>
                <w:lang w:val="en-US" w:eastAsia="zh-CN"/>
              </w:rPr>
              <w:t xml:space="preserve">    </w:t>
            </w:r>
            <w:r>
              <w:rPr>
                <w:rFonts w:hint="eastAsia" w:ascii="仿宋" w:hAnsi="仿宋" w:eastAsia="仿宋" w:cs="仿宋"/>
                <w:color w:val="000000"/>
                <w:sz w:val="28"/>
                <w:szCs w:val="28"/>
                <w:u w:val="none" w:color="auto"/>
                <w:shd w:val="clear" w:color="auto" w:fill="auto"/>
              </w:rPr>
              <w:t>建设康复辅助器具产业公共服务平台，提高全产业信息化服务能力，加强养老助残行业信息沟通。</w:t>
            </w:r>
          </w:p>
        </w:tc>
      </w:tr>
    </w:tbl>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63" w:name="_Toc2409"/>
      <w:r>
        <w:rPr>
          <w:rFonts w:hint="eastAsia" w:ascii="楷体" w:hAnsi="楷体" w:eastAsia="楷体" w:cs="楷体"/>
          <w:bCs/>
          <w:color w:val="000000"/>
          <w:sz w:val="32"/>
          <w:szCs w:val="32"/>
          <w:u w:val="none" w:color="auto"/>
          <w:shd w:val="clear" w:color="auto" w:fill="auto"/>
        </w:rPr>
        <w:t xml:space="preserve">第六节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完善殡葬公共服务体系</w:t>
      </w:r>
      <w:bookmarkEnd w:id="63"/>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bCs/>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全面建立基本殡葬服务保障制度</w:t>
      </w:r>
      <w:r>
        <w:rPr>
          <w:rFonts w:hint="eastAsia" w:ascii="仿宋" w:hAnsi="仿宋" w:eastAsia="仿宋" w:cs="仿宋"/>
          <w:color w:val="000000"/>
          <w:sz w:val="32"/>
          <w:szCs w:val="32"/>
          <w:u w:val="none" w:color="auto"/>
          <w:shd w:val="clear" w:color="auto" w:fill="auto"/>
        </w:rPr>
        <w:t>。</w:t>
      </w:r>
      <w:r>
        <w:rPr>
          <w:rFonts w:hint="eastAsia" w:ascii="仿宋" w:hAnsi="仿宋" w:eastAsia="仿宋" w:cs="仿宋"/>
          <w:bCs/>
          <w:color w:val="000000"/>
          <w:sz w:val="32"/>
          <w:szCs w:val="32"/>
          <w:u w:val="none" w:color="auto"/>
          <w:shd w:val="clear" w:color="auto" w:fill="auto"/>
        </w:rPr>
        <w:t>进一步完善基本殡葬服务保障制度，切实履行政府对城乡困难群众基本殡葬服务兜底保障职责，大力推行以减免或补贴遗体接运、暂存、火化、骨灰存放等基本殡葬服务费用为主要内容的惠民殡葬政策。提高政府基本殡葬服务供给能力，有条件的地方可增加惠民服务项目、扩大覆盖人群和提高保障标准，鼓励优先将生态安葬纳入本地基本公共服务范围，将惠民服务保障内容向节地生态安葬延伸覆盖，完善基本殡葬服务保障链条，逐步实现基本殡葬服务的普惠性、均等化。</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加快补齐殡葬公共服务设施短板</w:t>
      </w:r>
      <w:r>
        <w:rPr>
          <w:rFonts w:hint="eastAsia" w:ascii="仿宋" w:hAnsi="仿宋" w:eastAsia="仿宋" w:cs="仿宋"/>
          <w:bCs/>
          <w:color w:val="000000"/>
          <w:sz w:val="32"/>
          <w:szCs w:val="32"/>
          <w:u w:val="none" w:color="auto"/>
          <w:shd w:val="clear" w:color="auto" w:fill="auto"/>
        </w:rPr>
        <w:t>。统筹群众需求和设施短板，科学确定火葬区殡葬服务设施设备建设或配置标准，</w:t>
      </w:r>
      <w:r>
        <w:rPr>
          <w:rFonts w:hint="eastAsia" w:ascii="仿宋" w:hAnsi="仿宋" w:eastAsia="仿宋" w:cs="仿宋"/>
          <w:color w:val="000000"/>
          <w:sz w:val="32"/>
          <w:szCs w:val="32"/>
          <w:u w:val="none" w:color="auto"/>
          <w:shd w:val="clear" w:color="auto" w:fill="auto"/>
        </w:rPr>
        <w:t>支持新建殡仪馆或公益性骨灰安放设施，加快补齐殡仪馆、公益性骨灰安放设施等殡葬设施及相关服务短板，有条件的地方立足实际加强现有殡葬设施设备改造提升。合理规划建设土葬改革区遗体公墓，统筹设置服务土葬的殡仪服务设施（场所），鼓励在土葬改革区殡葬设施内配置火化设备，满足应对突发事件遗体处置需要，推动形成覆盖城乡、布局合理、设施完善、功能齐全、供给充足、便民惠民、绿色文明的火葬土葬改革一体推进的殡葬服务网络。推进公益性墓地建设，鼓励和引导绿色环保用材、节约用地、生态安葬。</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hint="eastAsia" w:ascii="仿宋" w:hAnsi="仿宋" w:eastAsia="仿宋" w:cs="仿宋"/>
          <w:bCs/>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切实提高殡葬领域治理水平</w:t>
      </w:r>
      <w:r>
        <w:rPr>
          <w:rFonts w:hint="eastAsia" w:ascii="仿宋" w:hAnsi="仿宋" w:eastAsia="仿宋" w:cs="仿宋"/>
          <w:color w:val="000000"/>
          <w:sz w:val="32"/>
          <w:szCs w:val="32"/>
          <w:u w:val="none" w:color="auto"/>
          <w:shd w:val="clear" w:color="auto" w:fill="auto"/>
        </w:rPr>
        <w:t>。</w:t>
      </w:r>
      <w:r>
        <w:rPr>
          <w:rFonts w:hint="eastAsia" w:ascii="仿宋" w:hAnsi="仿宋" w:eastAsia="仿宋" w:cs="仿宋"/>
          <w:bCs w:val="0"/>
          <w:color w:val="000000"/>
          <w:sz w:val="32"/>
          <w:szCs w:val="32"/>
          <w:u w:val="none" w:color="auto"/>
          <w:shd w:val="clear" w:color="auto" w:fill="auto"/>
        </w:rPr>
        <w:t>根</w:t>
      </w:r>
      <w:r>
        <w:rPr>
          <w:rFonts w:hint="eastAsia" w:ascii="仿宋" w:hAnsi="仿宋" w:eastAsia="仿宋" w:cs="仿宋"/>
          <w:bCs/>
          <w:color w:val="000000"/>
          <w:sz w:val="32"/>
          <w:szCs w:val="32"/>
          <w:u w:val="none" w:color="auto"/>
          <w:shd w:val="clear" w:color="auto" w:fill="auto"/>
        </w:rPr>
        <w:t>据人口、耕地、草原、林地、交通等实际情况，实事求是调整划分火葬区和土葬改革区，并适时进行调整优化。在火葬区，鼓励家庭成员采用骨灰合葬方式提高单体墓位使用率。在土葬改革区，按照规划引导群众实现集中规范安葬，倡导遗体深埋、不留坟头或以树代碑。大力推行不占或少占土地、少耗资源、少使用不可降解材料的节地生态安葬方式。积极稳妥推进活人墓、豪华墓、乱埋乱葬治理，遏制增量、减少存量。规范殡葬服务管理，落实属地管理和部门监管责任，强化殡葬服务事业单位公益属性，规范殡葬中介机构、服务企业规范诚信经营行为，健全殡葬领域人才培养和激励机制，不断提升殡葬服务规范化、优质化水平。加大联合执法力度，有效遏制殡葬领域违规现象，探索建立殡葬领域不良企业或单位黑名单制度，建立健全综合监管机制。推动殡葬服务与“互联网+”融合发展，为群众提供更加便捷透明的殡葬服务，探索推广远程告别、网络祭扫等殡葬服务新模式，提升殡葬服务便捷化、智能化水平。深入推进丧葬习俗改革，充分发挥党员干部模范带头作用，健全红白理事会及村规民约、居民公约，遏制重殓厚葬等陈规陋习。</w:t>
      </w:r>
    </w:p>
    <w:tbl>
      <w:tblPr>
        <w:tblStyle w:val="14"/>
        <w:tblpPr w:leftFromText="180" w:rightFromText="180" w:vertAnchor="text" w:horzAnchor="page" w:tblpXSpec="center" w:tblpY="294"/>
        <w:tblOverlap w:val="never"/>
        <w:tblW w:w="8968"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8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500" w:lineRule="exact"/>
              <w:ind w:left="0"/>
              <w:jc w:val="center"/>
              <w:textAlignment w:val="auto"/>
              <w:rPr>
                <w:rFonts w:ascii="仿宋" w:hAnsi="仿宋" w:eastAsia="仿宋" w:cs="仿宋"/>
                <w:bCs/>
                <w:color w:val="000000"/>
                <w:sz w:val="32"/>
                <w:szCs w:val="32"/>
                <w:u w:val="none" w:color="auto"/>
                <w:shd w:val="clear" w:color="auto" w:fill="auto"/>
              </w:rPr>
            </w:pPr>
            <w:r>
              <w:rPr>
                <w:rFonts w:hint="eastAsia" w:ascii="黑体" w:hAnsi="黑体" w:eastAsia="黑体" w:cs="黑体"/>
                <w:bCs/>
                <w:color w:val="000000"/>
                <w:sz w:val="32"/>
                <w:szCs w:val="32"/>
                <w:u w:val="none" w:color="auto"/>
                <w:shd w:val="clear" w:color="auto" w:fill="auto"/>
              </w:rPr>
              <w:t>专栏8  殡葬服务设施建设工程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1" w:hRule="atLeast"/>
          <w:jc w:val="center"/>
        </w:trPr>
        <w:tc>
          <w:tcPr>
            <w:tcW w:w="8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line="400" w:lineRule="exact"/>
              <w:ind w:left="0" w:firstLine="562" w:firstLineChars="200"/>
              <w:textAlignment w:val="auto"/>
              <w:rPr>
                <w:rFonts w:ascii="仿宋" w:hAnsi="仿宋" w:eastAsia="仿宋" w:cs="仿宋"/>
                <w:bCs/>
                <w:color w:val="000000"/>
                <w:sz w:val="28"/>
                <w:szCs w:val="28"/>
                <w:u w:val="none" w:color="auto"/>
                <w:shd w:val="clear" w:color="auto" w:fill="auto"/>
              </w:rPr>
            </w:pPr>
            <w:r>
              <w:rPr>
                <w:rFonts w:hint="eastAsia" w:ascii="仿宋" w:hAnsi="仿宋" w:eastAsia="仿宋" w:cs="仿宋"/>
                <w:b/>
                <w:color w:val="000000"/>
                <w:sz w:val="28"/>
                <w:szCs w:val="28"/>
                <w:u w:val="none" w:color="auto"/>
                <w:shd w:val="clear" w:color="auto" w:fill="auto"/>
              </w:rPr>
              <w:t>1.加强殡仪馆建设</w:t>
            </w:r>
          </w:p>
          <w:p>
            <w:pPr>
              <w:keepNext w:val="0"/>
              <w:keepLines w:val="0"/>
              <w:pageBreakBefore w:val="0"/>
              <w:widowControl w:val="0"/>
              <w:kinsoku/>
              <w:wordWrap/>
              <w:overflowPunct/>
              <w:topLinePunct w:val="0"/>
              <w:autoSpaceDE/>
              <w:autoSpaceDN/>
              <w:bidi w:val="0"/>
              <w:adjustRightInd/>
              <w:snapToGrid/>
              <w:spacing w:beforeAutospacing="0" w:line="400" w:lineRule="exact"/>
              <w:ind w:left="0" w:firstLine="560" w:firstLineChars="200"/>
              <w:textAlignment w:val="auto"/>
              <w:rPr>
                <w:rFonts w:ascii="仿宋" w:hAnsi="仿宋" w:eastAsia="仿宋" w:cs="仿宋"/>
                <w:bCs/>
                <w:color w:val="000000"/>
                <w:sz w:val="28"/>
                <w:szCs w:val="28"/>
                <w:u w:val="none" w:color="auto"/>
                <w:shd w:val="clear" w:color="auto" w:fill="auto"/>
              </w:rPr>
            </w:pPr>
            <w:r>
              <w:rPr>
                <w:rFonts w:hint="eastAsia" w:ascii="仿宋" w:hAnsi="仿宋" w:eastAsia="仿宋" w:cs="仿宋"/>
                <w:bCs/>
                <w:color w:val="000000"/>
                <w:sz w:val="28"/>
                <w:szCs w:val="28"/>
                <w:u w:val="none" w:color="auto"/>
                <w:shd w:val="clear" w:color="auto" w:fill="auto"/>
              </w:rPr>
              <w:t>支持火葬区殡仪馆尚未覆盖的旗县（市、区）补齐短板。压实地方责任，对已达</w:t>
            </w:r>
            <w:r>
              <w:rPr>
                <w:rFonts w:hint="eastAsia" w:ascii="仿宋" w:hAnsi="仿宋" w:eastAsia="仿宋" w:cs="仿宋"/>
                <w:bCs/>
                <w:color w:val="000000"/>
                <w:sz w:val="28"/>
                <w:szCs w:val="28"/>
                <w:u w:val="none" w:color="auto"/>
                <w:shd w:val="clear" w:color="auto" w:fill="auto"/>
                <w:lang w:eastAsia="zh-CN"/>
              </w:rPr>
              <w:t>到</w:t>
            </w:r>
            <w:r>
              <w:rPr>
                <w:rFonts w:hint="eastAsia" w:ascii="仿宋" w:hAnsi="仿宋" w:eastAsia="仿宋" w:cs="仿宋"/>
                <w:bCs/>
                <w:color w:val="000000"/>
                <w:sz w:val="28"/>
                <w:szCs w:val="28"/>
                <w:u w:val="none" w:color="auto"/>
                <w:shd w:val="clear" w:color="auto" w:fill="auto"/>
              </w:rPr>
              <w:t>危房标准、设施设备陈旧的殡仪馆实施改扩建，对已达到强制报废年限或不符合国家环保标准的火化设备进行更新改造，推动基本殡葬服务设施覆盖全部旗县（市、区）。</w:t>
            </w:r>
          </w:p>
          <w:p>
            <w:pPr>
              <w:keepNext w:val="0"/>
              <w:keepLines w:val="0"/>
              <w:pageBreakBefore w:val="0"/>
              <w:widowControl w:val="0"/>
              <w:kinsoku/>
              <w:wordWrap/>
              <w:overflowPunct/>
              <w:topLinePunct w:val="0"/>
              <w:autoSpaceDE/>
              <w:autoSpaceDN/>
              <w:bidi w:val="0"/>
              <w:adjustRightInd/>
              <w:snapToGrid/>
              <w:spacing w:beforeAutospacing="0" w:line="400" w:lineRule="exact"/>
              <w:ind w:left="0" w:firstLine="562" w:firstLineChars="200"/>
              <w:textAlignment w:val="auto"/>
              <w:rPr>
                <w:rFonts w:ascii="仿宋" w:hAnsi="仿宋" w:eastAsia="仿宋" w:cs="仿宋"/>
                <w:bCs/>
                <w:color w:val="000000"/>
                <w:sz w:val="28"/>
                <w:szCs w:val="28"/>
                <w:u w:val="none" w:color="auto"/>
                <w:shd w:val="clear" w:color="auto" w:fill="auto"/>
              </w:rPr>
            </w:pPr>
            <w:r>
              <w:rPr>
                <w:rFonts w:hint="eastAsia" w:ascii="仿宋" w:hAnsi="仿宋" w:eastAsia="仿宋" w:cs="仿宋"/>
                <w:b/>
                <w:color w:val="000000"/>
                <w:sz w:val="28"/>
                <w:szCs w:val="28"/>
                <w:u w:val="none" w:color="auto"/>
                <w:shd w:val="clear" w:color="auto" w:fill="auto"/>
              </w:rPr>
              <w:t>2.推动公益性骨灰安放设施建设</w:t>
            </w:r>
          </w:p>
          <w:p>
            <w:pPr>
              <w:keepNext w:val="0"/>
              <w:keepLines w:val="0"/>
              <w:pageBreakBefore w:val="0"/>
              <w:widowControl w:val="0"/>
              <w:kinsoku/>
              <w:wordWrap/>
              <w:overflowPunct/>
              <w:topLinePunct w:val="0"/>
              <w:autoSpaceDE/>
              <w:autoSpaceDN/>
              <w:bidi w:val="0"/>
              <w:adjustRightInd/>
              <w:snapToGrid/>
              <w:spacing w:beforeAutospacing="0" w:line="400" w:lineRule="exact"/>
              <w:ind w:left="0" w:firstLine="560" w:firstLineChars="200"/>
              <w:textAlignment w:val="auto"/>
              <w:rPr>
                <w:rFonts w:ascii="仿宋" w:hAnsi="仿宋" w:eastAsia="仿宋" w:cs="仿宋"/>
                <w:bCs/>
                <w:color w:val="000000"/>
                <w:sz w:val="32"/>
                <w:szCs w:val="32"/>
                <w:u w:val="none" w:color="auto"/>
                <w:shd w:val="clear" w:color="auto" w:fill="auto"/>
              </w:rPr>
            </w:pPr>
            <w:r>
              <w:rPr>
                <w:rFonts w:hint="eastAsia" w:ascii="仿宋" w:hAnsi="仿宋" w:eastAsia="仿宋" w:cs="仿宋"/>
                <w:bCs/>
                <w:color w:val="000000"/>
                <w:sz w:val="28"/>
                <w:szCs w:val="28"/>
                <w:u w:val="none" w:color="auto"/>
                <w:shd w:val="clear" w:color="auto" w:fill="auto"/>
              </w:rPr>
              <w:t>支持公益性骨灰安放设施建设。推进农村牧区公墓建设。加大生态殡葬奖补力度，在部分地区实施节地生态型公益性公墓示范项目。依托现有设施或适当场所，为不保留骨灰者和遗体器官捐献者建设纪念载体。</w:t>
            </w:r>
          </w:p>
        </w:tc>
      </w:tr>
      <w:bookmarkEnd w:id="59"/>
      <w:bookmarkEnd w:id="60"/>
    </w:tbl>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0"/>
        <w:rPr>
          <w:rFonts w:ascii="Calibri" w:hAnsi="Calibri" w:eastAsia="宋体" w:cs="仿宋"/>
          <w:color w:val="000000"/>
          <w:sz w:val="21"/>
          <w:szCs w:val="24"/>
          <w:u w:val="none" w:color="auto"/>
          <w:shd w:val="clear" w:color="auto" w:fill="auto"/>
        </w:rPr>
      </w:pPr>
      <w:bookmarkStart w:id="64" w:name="_Toc27184"/>
      <w:bookmarkStart w:id="65" w:name="_Toc14357"/>
      <w:r>
        <w:rPr>
          <w:rFonts w:hint="eastAsia" w:ascii="黑体" w:hAnsi="黑体" w:eastAsia="黑体" w:cs="黑体"/>
          <w:color w:val="000000"/>
          <w:sz w:val="32"/>
          <w:szCs w:val="32"/>
          <w:u w:val="none" w:color="auto"/>
          <w:shd w:val="clear" w:color="auto" w:fill="auto"/>
        </w:rPr>
        <w:t xml:space="preserve">第五章 </w:t>
      </w:r>
      <w:r>
        <w:rPr>
          <w:rFonts w:hint="eastAsia" w:ascii="黑体" w:hAnsi="黑体" w:eastAsia="黑体" w:cs="黑体"/>
          <w:color w:val="000000"/>
          <w:sz w:val="32"/>
          <w:szCs w:val="32"/>
          <w:u w:val="none" w:color="auto"/>
          <w:shd w:val="clear" w:color="auto" w:fill="auto"/>
          <w:lang w:val="en-US" w:eastAsia="zh-CN"/>
        </w:rPr>
        <w:t xml:space="preserve"> </w:t>
      </w:r>
      <w:r>
        <w:rPr>
          <w:rFonts w:hint="eastAsia" w:ascii="黑体" w:hAnsi="黑体" w:eastAsia="黑体" w:cs="黑体"/>
          <w:color w:val="000000"/>
          <w:sz w:val="32"/>
          <w:szCs w:val="32"/>
          <w:u w:val="none" w:color="auto"/>
          <w:shd w:val="clear" w:color="auto" w:fill="auto"/>
        </w:rPr>
        <w:t>完善养老服务体系，提升老年人获得感、幸福感</w:t>
      </w:r>
      <w:bookmarkEnd w:id="64"/>
    </w:p>
    <w:p>
      <w:pPr>
        <w:keepNext w:val="0"/>
        <w:keepLines w:val="0"/>
        <w:pageBreakBefore w:val="0"/>
        <w:widowControl w:val="0"/>
        <w:kinsoku/>
        <w:wordWrap/>
        <w:overflowPunct/>
        <w:topLinePunct w:val="0"/>
        <w:autoSpaceDE/>
        <w:autoSpaceDN/>
        <w:bidi w:val="0"/>
        <w:snapToGrid/>
        <w:spacing w:beforeAutospacing="0" w:line="580" w:lineRule="exact"/>
        <w:ind w:left="0" w:firstLine="641"/>
        <w:jc w:val="left"/>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32"/>
          <w:szCs w:val="32"/>
          <w:u w:val="none" w:color="auto"/>
          <w:shd w:val="clear" w:color="auto" w:fill="auto"/>
        </w:rPr>
        <w:t>适应老龄化社会需求，持续完善居家社区机构相协调、医养康养相结合的养老服务体系，大力优化养老服务供给结构，持续改善养老服务质量，加强监管，保障老年人基本养老服务，有效满足多样化、多层次的养老服务需求。</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66" w:name="_Toc4531"/>
      <w:r>
        <w:rPr>
          <w:rFonts w:hint="eastAsia" w:ascii="楷体" w:hAnsi="楷体" w:eastAsia="楷体" w:cs="楷体"/>
          <w:bCs/>
          <w:color w:val="000000"/>
          <w:sz w:val="32"/>
          <w:szCs w:val="32"/>
          <w:u w:val="none" w:color="auto"/>
          <w:shd w:val="clear" w:color="auto" w:fill="auto"/>
        </w:rPr>
        <w:t>第一节</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 xml:space="preserve"> 加强养老服务保障</w:t>
      </w:r>
      <w:bookmarkEnd w:id="66"/>
    </w:p>
    <w:p>
      <w:pPr>
        <w:keepNext w:val="0"/>
        <w:keepLines w:val="0"/>
        <w:pageBreakBefore w:val="0"/>
        <w:widowControl w:val="0"/>
        <w:shd w:val="clear" w:color="auto" w:fill="FFFFFF"/>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加强基本养老服务。</w:t>
      </w:r>
      <w:r>
        <w:rPr>
          <w:rFonts w:hint="eastAsia" w:ascii="仿宋" w:hAnsi="仿宋" w:eastAsia="仿宋" w:cs="仿宋"/>
          <w:bCs w:val="0"/>
          <w:color w:val="000000"/>
          <w:sz w:val="32"/>
          <w:szCs w:val="32"/>
          <w:u w:val="none" w:color="auto"/>
          <w:shd w:val="clear" w:color="auto" w:fill="auto"/>
        </w:rPr>
        <w:t>依</w:t>
      </w:r>
      <w:r>
        <w:rPr>
          <w:rFonts w:hint="eastAsia" w:ascii="仿宋" w:hAnsi="仿宋" w:eastAsia="仿宋"/>
          <w:bCs/>
          <w:color w:val="000000"/>
          <w:sz w:val="32"/>
          <w:szCs w:val="32"/>
          <w:u w:val="none" w:color="auto"/>
          <w:shd w:val="clear" w:color="auto" w:fill="auto"/>
        </w:rPr>
        <w:t>据</w:t>
      </w:r>
      <w:r>
        <w:rPr>
          <w:rFonts w:hint="eastAsia" w:ascii="仿宋" w:hAnsi="仿宋" w:eastAsia="仿宋" w:cs="仿宋"/>
          <w:color w:val="000000"/>
          <w:sz w:val="32"/>
          <w:szCs w:val="32"/>
          <w:u w:val="none" w:color="auto"/>
          <w:shd w:val="clear" w:color="auto" w:fill="auto"/>
        </w:rPr>
        <w:t>国家老年人能力综合评估标准，开展老年人能力综合评估，评估结果作为领取老年人补贴、接受基本养老服务的依据。建立基本养老服务清单，推动基本养老服务清单内容纳入基本公共服务和基本社会服务范畴。优先对经济困难的失能、高龄老年人给予重点保障，推动各地</w:t>
      </w:r>
      <w:r>
        <w:rPr>
          <w:rFonts w:hint="eastAsia" w:ascii="仿宋" w:hAnsi="仿宋" w:eastAsia="仿宋" w:cs="仿宋"/>
          <w:color w:val="000000"/>
          <w:sz w:val="32"/>
          <w:szCs w:val="32"/>
          <w:u w:val="none" w:color="auto"/>
          <w:shd w:val="clear" w:color="auto" w:fill="auto"/>
          <w:lang w:eastAsia="zh-CN"/>
        </w:rPr>
        <w:t>区</w:t>
      </w:r>
      <w:r>
        <w:rPr>
          <w:rFonts w:hint="eastAsia" w:ascii="仿宋" w:hAnsi="仿宋" w:eastAsia="仿宋" w:cs="仿宋"/>
          <w:color w:val="000000"/>
          <w:sz w:val="32"/>
          <w:szCs w:val="32"/>
          <w:u w:val="none" w:color="auto"/>
          <w:shd w:val="clear" w:color="auto" w:fill="auto"/>
        </w:rPr>
        <w:t>根据地方经济社会发展水平和老年人状况，建立健全生活照料、康复护理、心理慰藉、日间托养、紧急救援、文化娱乐等养老服务项目，重点为老年人提供助急、助餐、助医、助浴、助行等养老服务。完善经济困难的高龄、失能老年人补贴制度，因地制宜健全动态调整机制，提高补贴标准精准度和有效性，强化与残疾人“两项补贴”、社会救助等政策的衔接。</w:t>
      </w:r>
    </w:p>
    <w:p>
      <w:pPr>
        <w:keepNext w:val="0"/>
        <w:keepLines w:val="0"/>
        <w:pageBreakBefore w:val="0"/>
        <w:widowControl w:val="0"/>
        <w:shd w:val="clear" w:color="auto" w:fill="FFFFFF"/>
        <w:kinsoku/>
        <w:wordWrap/>
        <w:overflowPunct/>
        <w:topLinePunct w:val="0"/>
        <w:autoSpaceDE/>
        <w:autoSpaceDN/>
        <w:bidi w:val="0"/>
        <w:snapToGrid/>
        <w:spacing w:beforeAutospacing="0" w:line="580" w:lineRule="exact"/>
        <w:ind w:left="0"/>
        <w:textAlignment w:val="auto"/>
        <w:rPr>
          <w:rFonts w:ascii="仿宋" w:hAnsi="仿宋" w:eastAsia="仿宋" w:cs="仿宋"/>
          <w:b w:val="0"/>
          <w:bCs w:val="0"/>
          <w:color w:val="000000"/>
          <w:sz w:val="32"/>
          <w:szCs w:val="32"/>
          <w:u w:val="none" w:color="auto"/>
          <w:shd w:val="clear" w:color="auto" w:fill="auto"/>
        </w:rPr>
      </w:pPr>
      <w:r>
        <w:rPr>
          <w:rFonts w:hint="eastAsia" w:ascii="仿宋" w:hAnsi="仿宋" w:eastAsia="仿宋" w:cs="仿宋"/>
          <w:b/>
          <w:color w:val="000000"/>
          <w:sz w:val="32"/>
          <w:szCs w:val="32"/>
          <w:u w:val="none" w:color="auto"/>
          <w:shd w:val="clear" w:color="auto" w:fill="auto"/>
        </w:rPr>
        <w:t xml:space="preserve"> </w:t>
      </w:r>
      <w:r>
        <w:rPr>
          <w:rFonts w:hint="eastAsia" w:ascii="仿宋" w:hAnsi="仿宋" w:eastAsia="仿宋" w:cs="仿宋"/>
          <w:b w:val="0"/>
          <w:color w:val="000000"/>
          <w:sz w:val="32"/>
          <w:szCs w:val="32"/>
          <w:u w:val="none" w:color="auto"/>
          <w:shd w:val="clear" w:color="auto" w:fill="auto"/>
        </w:rPr>
        <w:t xml:space="preserve">   完善兜底性养老服务</w:t>
      </w:r>
      <w:r>
        <w:rPr>
          <w:rFonts w:hint="eastAsia" w:ascii="仿宋" w:hAnsi="仿宋" w:eastAsia="仿宋" w:cs="仿宋"/>
          <w:color w:val="000000"/>
          <w:sz w:val="32"/>
          <w:szCs w:val="32"/>
          <w:u w:val="none" w:color="auto"/>
          <w:shd w:val="clear" w:color="auto" w:fill="auto"/>
        </w:rPr>
        <w:t>。突出公办养老机构的公益属性，做好城乡特困人员集中供养工作，优先保障生活不能自理特困人员集中供养，确保有意愿入住的特困人员全部实现集中供养。提升特困供养服务机构（敬老院）管理水平，全部完成特困供养服务机构（敬老院）法人登记，按比例配备工作人员，将特困供养服务设施运转经费纳入同级财政预算。增加护理型床位占比，以重残、失能、留守、空巢、计划生育特殊家庭等特殊困难老年人为重点，建立特殊困难老年人定期探访制度，健全农村留守老年人关爱服务制度。完善临时救助制度，着力解决经济困难老年人遭遇的临时性、突发性、紧迫</w:t>
      </w:r>
      <w:r>
        <w:rPr>
          <w:rFonts w:hint="eastAsia" w:ascii="仿宋" w:hAnsi="仿宋" w:eastAsia="仿宋" w:cs="仿宋"/>
          <w:b w:val="0"/>
          <w:bCs w:val="0"/>
          <w:color w:val="000000"/>
          <w:sz w:val="32"/>
          <w:szCs w:val="32"/>
          <w:u w:val="none" w:color="auto"/>
          <w:shd w:val="clear" w:color="auto" w:fill="auto"/>
        </w:rPr>
        <w:t>性生活困难。</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jc w:val="left"/>
        <w:textAlignment w:val="auto"/>
        <w:rPr>
          <w:rFonts w:ascii="仿宋" w:hAnsi="仿宋" w:eastAsia="仿宋" w:cs="仿宋"/>
          <w:b w:val="0"/>
          <w:bCs w:val="0"/>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建立长期照护保障制度。建立长期照护服务项目、标准、质量评价等行业规范，推进长期护理保险试点，取得经验后全面推广。发挥社会救助、社会福利、慈善事业、商业保险等的补充作用，满足不同层面照护服务需求。鼓励研发和提供长期照护商业保险产品。提升个性化定制水平，为适宜人群提供优质医疗和护理服务。</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jc w:val="left"/>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推进养老服务适度普惠。大力发展普惠养老服务，为中低收入家庭老年人提供价格适中、方便可及、质量可靠的养老服务。持续深入推进城企联动养</w:t>
      </w:r>
      <w:r>
        <w:rPr>
          <w:rFonts w:hint="eastAsia" w:ascii="仿宋" w:hAnsi="仿宋" w:eastAsia="仿宋" w:cs="仿宋"/>
          <w:color w:val="000000"/>
          <w:sz w:val="32"/>
          <w:szCs w:val="32"/>
          <w:u w:val="none" w:color="auto"/>
          <w:shd w:val="clear" w:color="auto" w:fill="auto"/>
        </w:rPr>
        <w:t>老专项行动，通过土地、规划、融资、财税、医养结合、人才等政策的综合应用，支持普惠性养老服务开展，</w:t>
      </w:r>
      <w:r>
        <w:rPr>
          <w:rFonts w:hint="eastAsia" w:ascii="仿宋" w:hAnsi="仿宋" w:eastAsia="仿宋" w:cs="仿宋"/>
          <w:bCs/>
          <w:color w:val="000000"/>
          <w:sz w:val="32"/>
          <w:szCs w:val="32"/>
          <w:u w:val="none" w:color="auto"/>
          <w:shd w:val="clear" w:color="auto" w:fill="auto"/>
        </w:rPr>
        <w:t>吸引更多社会力量参与开展普惠养老服务，</w:t>
      </w:r>
      <w:r>
        <w:rPr>
          <w:rFonts w:hint="eastAsia" w:ascii="仿宋" w:hAnsi="仿宋" w:eastAsia="仿宋" w:cs="仿宋"/>
          <w:color w:val="000000"/>
          <w:sz w:val="32"/>
          <w:szCs w:val="32"/>
          <w:u w:val="none" w:color="auto"/>
          <w:shd w:val="clear" w:color="auto" w:fill="auto"/>
        </w:rPr>
        <w:t>积极支持国有企业开展普惠性养老服务。</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67" w:name="_Toc5586"/>
      <w:r>
        <w:rPr>
          <w:rFonts w:hint="eastAsia" w:ascii="楷体" w:hAnsi="楷体" w:eastAsia="楷体" w:cs="楷体"/>
          <w:bCs/>
          <w:color w:val="000000"/>
          <w:sz w:val="32"/>
          <w:szCs w:val="32"/>
          <w:u w:val="none" w:color="auto"/>
          <w:shd w:val="clear" w:color="auto" w:fill="auto"/>
        </w:rPr>
        <w:t xml:space="preserve">第二节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构建居家社区机构养老服务网络</w:t>
      </w:r>
      <w:bookmarkEnd w:id="67"/>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pacing w:val="6"/>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完善居家养老支持措施</w:t>
      </w:r>
      <w:r>
        <w:rPr>
          <w:rFonts w:hint="eastAsia" w:ascii="仿宋" w:hAnsi="仿宋" w:eastAsia="仿宋" w:cs="仿宋"/>
          <w:color w:val="000000"/>
          <w:sz w:val="32"/>
          <w:szCs w:val="32"/>
          <w:u w:val="none" w:color="auto"/>
          <w:shd w:val="clear" w:color="auto" w:fill="auto"/>
        </w:rPr>
        <w:t>。推动各地</w:t>
      </w:r>
      <w:r>
        <w:rPr>
          <w:rFonts w:hint="eastAsia" w:ascii="仿宋" w:hAnsi="仿宋" w:eastAsia="仿宋" w:cs="仿宋"/>
          <w:color w:val="000000"/>
          <w:sz w:val="32"/>
          <w:szCs w:val="32"/>
          <w:u w:val="none" w:color="auto"/>
          <w:shd w:val="clear" w:color="auto" w:fill="auto"/>
          <w:lang w:eastAsia="zh-CN"/>
        </w:rPr>
        <w:t>区</w:t>
      </w:r>
      <w:r>
        <w:rPr>
          <w:rFonts w:hint="eastAsia" w:ascii="仿宋" w:hAnsi="仿宋" w:eastAsia="仿宋" w:cs="仿宋"/>
          <w:color w:val="000000"/>
          <w:sz w:val="32"/>
          <w:szCs w:val="32"/>
          <w:u w:val="none" w:color="auto"/>
          <w:shd w:val="clear" w:color="auto" w:fill="auto"/>
        </w:rPr>
        <w:t>普遍建立家庭养老支持政策，大力发展“家庭养老床位”，支持各类服务机构运营社区养老服务设施，上门为居家老年人提供生活照料、家务料理、康复护理、精神慰藉等服务。探索开展集中式居家养老服务。</w:t>
      </w:r>
      <w:r>
        <w:rPr>
          <w:rFonts w:hint="eastAsia" w:ascii="仿宋" w:hAnsi="仿宋" w:eastAsia="仿宋" w:cs="仿宋"/>
          <w:bCs/>
          <w:color w:val="000000"/>
          <w:sz w:val="32"/>
          <w:szCs w:val="32"/>
          <w:u w:val="none" w:color="auto"/>
          <w:shd w:val="clear" w:color="auto" w:fill="auto"/>
        </w:rPr>
        <w:t>逐步把失能失智和高龄老年人家庭成员照护培训纳入政府购买养老服务目录，推进经济困难高龄老年人家庭适老化改造，</w:t>
      </w:r>
      <w:r>
        <w:rPr>
          <w:rFonts w:hint="eastAsia" w:ascii="仿宋" w:hAnsi="仿宋" w:eastAsia="仿宋" w:cs="仿宋"/>
          <w:color w:val="000000"/>
          <w:sz w:val="32"/>
          <w:szCs w:val="32"/>
          <w:u w:val="none" w:color="auto"/>
          <w:shd w:val="clear" w:color="auto" w:fill="auto"/>
        </w:rPr>
        <w:t>组织养老机构、社会组织、社工机构等开展养老照护、应急救护知识和技能培训，提高其日常照料和应急处理能力。有条件的地区探索开展失能失智老年人家庭照护者喘息服务，推广实施“物业服务+养老服务”，支持物业企业开展老年供餐、定期巡访等形式多样的养老服务，</w:t>
      </w:r>
      <w:r>
        <w:rPr>
          <w:rFonts w:hint="eastAsia" w:ascii="仿宋" w:hAnsi="仿宋" w:eastAsia="仿宋" w:cs="仿宋"/>
          <w:sz w:val="32"/>
          <w:szCs w:val="32"/>
          <w:u w:val="none" w:color="auto"/>
          <w:shd w:val="clear" w:color="auto" w:fill="auto"/>
        </w:rPr>
        <w:t>推动老年友好型社区建设。</w:t>
      </w:r>
      <w:r>
        <w:rPr>
          <w:rFonts w:hint="eastAsia" w:ascii="仿宋" w:hAnsi="仿宋" w:eastAsia="仿宋" w:cs="仿宋"/>
          <w:color w:val="000000"/>
          <w:sz w:val="32"/>
          <w:szCs w:val="32"/>
          <w:u w:val="none" w:color="auto"/>
          <w:shd w:val="clear" w:color="auto" w:fill="auto"/>
        </w:rPr>
        <w:t>鼓励有资质的社会组织</w:t>
      </w:r>
      <w:r>
        <w:rPr>
          <w:rFonts w:hint="eastAsia" w:ascii="仿宋" w:hAnsi="仿宋" w:eastAsia="仿宋" w:cs="仿宋"/>
          <w:color w:val="000000"/>
          <w:spacing w:val="6"/>
          <w:sz w:val="32"/>
          <w:szCs w:val="32"/>
          <w:u w:val="none" w:color="auto"/>
          <w:shd w:val="clear" w:color="auto" w:fill="auto"/>
        </w:rPr>
        <w:t>或服务机构开展养老服务咨询、代理服务，重点协助计划生育特殊家庭、无子女等老年人办理入住养老机构、就医、监护等事务。</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优化社区养老服务设施布局</w:t>
      </w:r>
      <w:r>
        <w:rPr>
          <w:rFonts w:hint="eastAsia" w:ascii="仿宋" w:hAnsi="仿宋" w:eastAsia="仿宋" w:cs="仿宋"/>
          <w:color w:val="000000"/>
          <w:sz w:val="32"/>
          <w:szCs w:val="32"/>
          <w:u w:val="none" w:color="auto"/>
          <w:shd w:val="clear" w:color="auto" w:fill="auto"/>
        </w:rPr>
        <w:t>。全面落实养老服务设施分区分级规划建设要求，落实规划编制新建住宅（小）区与配套养老服务设施同步规划、同步建设、同步验收、同步交付。</w:t>
      </w:r>
      <w:r>
        <w:rPr>
          <w:rFonts w:hint="eastAsia" w:ascii="仿宋" w:hAnsi="仿宋" w:eastAsia="仿宋" w:cs="仿宋"/>
          <w:bCs/>
          <w:color w:val="000000"/>
          <w:sz w:val="32"/>
          <w:szCs w:val="32"/>
          <w:u w:val="none" w:color="auto"/>
          <w:shd w:val="clear" w:color="auto" w:fill="auto"/>
        </w:rPr>
        <w:t>对已交付产权人的养老服务设施由民政部门履行监管职责，确保养老服务用途。</w:t>
      </w:r>
      <w:r>
        <w:rPr>
          <w:rFonts w:hint="eastAsia" w:ascii="仿宋" w:hAnsi="仿宋" w:eastAsia="仿宋" w:cs="仿宋"/>
          <w:color w:val="000000"/>
          <w:sz w:val="32"/>
          <w:szCs w:val="32"/>
          <w:u w:val="none" w:color="auto"/>
          <w:shd w:val="clear" w:color="auto" w:fill="auto"/>
        </w:rPr>
        <w:t>重点支持街道层面的社区养老服务设施建设，大力推进城区、居住（小）区按标准配套建设社区养老服务设施，推进老旧城区、已建成居住（小）区加快补足社区养老服务设施。推动建设“一刻钟”居家养老服务圈。到2</w:t>
      </w:r>
      <w:r>
        <w:rPr>
          <w:rFonts w:ascii="仿宋" w:hAnsi="仿宋" w:eastAsia="仿宋" w:cs="仿宋"/>
          <w:color w:val="000000"/>
          <w:sz w:val="32"/>
          <w:szCs w:val="32"/>
          <w:u w:val="none" w:color="auto"/>
          <w:shd w:val="clear" w:color="auto" w:fill="auto"/>
        </w:rPr>
        <w:t>022</w:t>
      </w:r>
      <w:r>
        <w:rPr>
          <w:rFonts w:hint="eastAsia" w:ascii="仿宋" w:hAnsi="仿宋" w:eastAsia="仿宋" w:cs="仿宋"/>
          <w:color w:val="000000"/>
          <w:sz w:val="32"/>
          <w:szCs w:val="32"/>
          <w:u w:val="none" w:color="auto"/>
          <w:shd w:val="clear" w:color="auto" w:fill="auto"/>
        </w:rPr>
        <w:t>年，每个街道建设一个具备综合功能的养老服务中心</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加强社区养老服务机构建设，全区社区日间照料机构覆盖率达到90%以上，形成街道层面区域养老服务中心和社区层面养老服务机构衔接有序、功能互补的发展格局，为居家社区老年人提供失能护理、短期托养、心理慰藉、</w:t>
      </w:r>
      <w:r>
        <w:rPr>
          <w:rFonts w:hint="eastAsia" w:ascii="仿宋" w:hAnsi="仿宋" w:eastAsia="仿宋" w:cs="仿宋"/>
          <w:sz w:val="32"/>
          <w:szCs w:val="32"/>
          <w:u w:val="none" w:color="auto"/>
          <w:shd w:val="clear" w:color="auto" w:fill="auto"/>
        </w:rPr>
        <w:t>医疗保健</w:t>
      </w:r>
      <w:r>
        <w:rPr>
          <w:rFonts w:hint="eastAsia" w:ascii="仿宋" w:hAnsi="仿宋" w:eastAsia="仿宋" w:cs="仿宋"/>
          <w:color w:val="000000"/>
          <w:sz w:val="32"/>
          <w:szCs w:val="32"/>
          <w:u w:val="none" w:color="auto"/>
          <w:shd w:val="clear" w:color="auto" w:fill="auto"/>
        </w:rPr>
        <w:t>等服务。建设完善居家社区养老监管和服务信息化手段，为居家社区养老服务提供精准大数据保障。</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大力发展农村牧区养老服务</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z w:val="32"/>
          <w:szCs w:val="32"/>
          <w:u w:val="none" w:color="auto"/>
          <w:shd w:val="clear" w:color="auto" w:fill="auto"/>
        </w:rPr>
        <w:t>优化县域养老服务设施布局，构建以</w:t>
      </w:r>
      <w:r>
        <w:rPr>
          <w:rFonts w:hint="eastAsia" w:ascii="仿宋" w:hAnsi="仿宋" w:eastAsia="仿宋" w:cs="仿宋"/>
          <w:color w:val="000000"/>
          <w:sz w:val="32"/>
          <w:szCs w:val="32"/>
          <w:u w:val="none" w:color="auto"/>
          <w:shd w:val="clear" w:color="auto" w:fill="auto"/>
          <w:lang w:eastAsia="zh-CN"/>
        </w:rPr>
        <w:t>旗</w:t>
      </w:r>
      <w:r>
        <w:rPr>
          <w:rFonts w:hint="eastAsia" w:ascii="仿宋" w:hAnsi="仿宋" w:eastAsia="仿宋" w:cs="仿宋"/>
          <w:color w:val="000000"/>
          <w:sz w:val="32"/>
          <w:szCs w:val="32"/>
          <w:u w:val="none" w:color="auto"/>
          <w:shd w:val="clear" w:color="auto" w:fill="auto"/>
        </w:rPr>
        <w:t>县级特困人员供养服务机构为中心，以</w:t>
      </w:r>
      <w:r>
        <w:rPr>
          <w:rFonts w:hint="eastAsia" w:ascii="仿宋" w:hAnsi="仿宋" w:eastAsia="仿宋" w:cs="仿宋"/>
          <w:color w:val="000000"/>
          <w:sz w:val="32"/>
          <w:szCs w:val="32"/>
          <w:u w:val="none" w:color="auto"/>
          <w:shd w:val="clear" w:color="auto" w:fill="auto"/>
          <w:lang w:eastAsia="zh-CN"/>
        </w:rPr>
        <w:t>苏木</w:t>
      </w:r>
      <w:r>
        <w:rPr>
          <w:rFonts w:hint="eastAsia" w:ascii="仿宋" w:hAnsi="仿宋" w:eastAsia="仿宋" w:cs="仿宋"/>
          <w:color w:val="000000"/>
          <w:sz w:val="32"/>
          <w:szCs w:val="32"/>
          <w:u w:val="none" w:color="auto"/>
          <w:shd w:val="clear" w:color="auto" w:fill="auto"/>
        </w:rPr>
        <w:t>乡镇敬老院为辐射，以农村幸福院为补充的三级养老服务网络，支持有条件的敬老院转型为养老服务中心，到2025年支持110所敬老院转型升级，推动在苏木乡镇建设具备全托、日托、上门服务等综合功能的养老服务中心，在人口较多</w:t>
      </w:r>
      <w:r>
        <w:rPr>
          <w:rFonts w:hint="eastAsia" w:ascii="仿宋" w:hAnsi="仿宋" w:eastAsia="仿宋" w:cs="仿宋"/>
          <w:color w:val="000000"/>
          <w:sz w:val="32"/>
          <w:szCs w:val="32"/>
          <w:u w:val="none" w:color="auto"/>
          <w:shd w:val="clear" w:color="auto" w:fill="auto"/>
          <w:lang w:eastAsia="zh-CN"/>
        </w:rPr>
        <w:t>苏木</w:t>
      </w:r>
      <w:r>
        <w:rPr>
          <w:rFonts w:hint="eastAsia" w:ascii="仿宋" w:hAnsi="仿宋" w:eastAsia="仿宋" w:cs="仿宋"/>
          <w:color w:val="000000"/>
          <w:sz w:val="32"/>
          <w:szCs w:val="32"/>
          <w:u w:val="none" w:color="auto"/>
          <w:shd w:val="clear" w:color="auto" w:fill="auto"/>
        </w:rPr>
        <w:t>乡镇建设260个乡镇养老服务中心，到2025年底，农村</w:t>
      </w:r>
      <w:r>
        <w:rPr>
          <w:rFonts w:hint="eastAsia" w:ascii="仿宋" w:hAnsi="仿宋" w:eastAsia="仿宋" w:cs="仿宋"/>
          <w:color w:val="000000"/>
          <w:sz w:val="32"/>
          <w:szCs w:val="32"/>
          <w:u w:val="none" w:color="auto"/>
          <w:shd w:val="clear" w:color="auto" w:fill="auto"/>
          <w:lang w:eastAsia="zh-CN"/>
        </w:rPr>
        <w:t>牧区</w:t>
      </w:r>
      <w:r>
        <w:rPr>
          <w:rFonts w:hint="eastAsia" w:ascii="仿宋" w:hAnsi="仿宋" w:eastAsia="仿宋" w:cs="仿宋"/>
          <w:color w:val="000000"/>
          <w:sz w:val="32"/>
          <w:szCs w:val="32"/>
          <w:u w:val="none" w:color="auto"/>
          <w:shd w:val="clear" w:color="auto" w:fill="auto"/>
        </w:rPr>
        <w:t>养老服务中心覆盖率总体达到</w:t>
      </w:r>
      <w:r>
        <w:rPr>
          <w:rFonts w:ascii="仿宋" w:hAnsi="仿宋" w:eastAsia="仿宋" w:cs="仿宋"/>
          <w:color w:val="000000"/>
          <w:sz w:val="32"/>
          <w:szCs w:val="32"/>
          <w:u w:val="none" w:color="auto"/>
          <w:shd w:val="clear" w:color="auto" w:fill="auto"/>
        </w:rPr>
        <w:t>5</w:t>
      </w:r>
      <w:r>
        <w:rPr>
          <w:rFonts w:hint="eastAsia" w:ascii="仿宋" w:hAnsi="仿宋" w:eastAsia="仿宋" w:cs="仿宋"/>
          <w:color w:val="000000"/>
          <w:sz w:val="32"/>
          <w:szCs w:val="32"/>
          <w:u w:val="none" w:color="auto"/>
          <w:shd w:val="clear" w:color="auto" w:fill="auto"/>
        </w:rPr>
        <w:t>0%。扩展</w:t>
      </w:r>
      <w:r>
        <w:rPr>
          <w:rFonts w:hint="eastAsia" w:ascii="仿宋" w:hAnsi="仿宋" w:eastAsia="仿宋" w:cs="仿宋"/>
          <w:color w:val="000000"/>
          <w:sz w:val="32"/>
          <w:szCs w:val="32"/>
          <w:u w:val="none" w:color="auto"/>
          <w:shd w:val="clear" w:color="auto" w:fill="auto"/>
          <w:lang w:eastAsia="zh-CN"/>
        </w:rPr>
        <w:t>苏木</w:t>
      </w:r>
      <w:r>
        <w:rPr>
          <w:rFonts w:hint="eastAsia" w:ascii="仿宋" w:hAnsi="仿宋" w:eastAsia="仿宋" w:cs="仿宋"/>
          <w:color w:val="000000"/>
          <w:sz w:val="32"/>
          <w:szCs w:val="32"/>
          <w:u w:val="none" w:color="auto"/>
          <w:shd w:val="clear" w:color="auto" w:fill="auto"/>
        </w:rPr>
        <w:t>乡镇敬老院区域服务功能，发挥</w:t>
      </w:r>
      <w:r>
        <w:rPr>
          <w:rFonts w:hint="eastAsia" w:ascii="仿宋" w:hAnsi="仿宋" w:eastAsia="仿宋" w:cs="仿宋"/>
          <w:color w:val="000000"/>
          <w:sz w:val="32"/>
          <w:szCs w:val="32"/>
          <w:u w:val="none" w:color="auto"/>
          <w:shd w:val="clear" w:color="auto" w:fill="auto"/>
          <w:lang w:eastAsia="zh-CN"/>
        </w:rPr>
        <w:t>嘎查</w:t>
      </w:r>
      <w:r>
        <w:rPr>
          <w:rFonts w:hint="eastAsia" w:ascii="仿宋" w:hAnsi="仿宋" w:eastAsia="仿宋" w:cs="仿宋"/>
          <w:color w:val="000000"/>
          <w:sz w:val="32"/>
          <w:szCs w:val="32"/>
          <w:u w:val="none" w:color="auto"/>
          <w:shd w:val="clear" w:color="auto" w:fill="auto"/>
        </w:rPr>
        <w:t>村级互助养老服务设施前沿阵地作用。</w:t>
      </w:r>
      <w:r>
        <w:rPr>
          <w:rFonts w:hint="eastAsia" w:ascii="仿宋" w:hAnsi="仿宋" w:eastAsia="仿宋" w:cs="仿宋"/>
          <w:bCs/>
          <w:color w:val="000000"/>
          <w:sz w:val="32"/>
          <w:szCs w:val="32"/>
          <w:u w:val="none" w:color="auto"/>
          <w:shd w:val="clear" w:color="auto" w:fill="auto"/>
        </w:rPr>
        <w:t>提升农村</w:t>
      </w:r>
      <w:r>
        <w:rPr>
          <w:rFonts w:hint="eastAsia" w:ascii="仿宋" w:hAnsi="仿宋" w:eastAsia="仿宋" w:cs="仿宋"/>
          <w:bCs/>
          <w:color w:val="000000"/>
          <w:sz w:val="32"/>
          <w:szCs w:val="32"/>
          <w:u w:val="none" w:color="auto"/>
          <w:shd w:val="clear" w:color="auto" w:fill="auto"/>
          <w:lang w:eastAsia="zh-CN"/>
        </w:rPr>
        <w:t>牧区</w:t>
      </w:r>
      <w:r>
        <w:rPr>
          <w:rFonts w:hint="eastAsia" w:ascii="仿宋" w:hAnsi="仿宋" w:eastAsia="仿宋" w:cs="仿宋"/>
          <w:bCs/>
          <w:color w:val="000000"/>
          <w:sz w:val="32"/>
          <w:szCs w:val="32"/>
          <w:u w:val="none" w:color="auto"/>
          <w:shd w:val="clear" w:color="auto" w:fill="auto"/>
        </w:rPr>
        <w:t>互助养老服务覆盖面，提升收治失能、半失能老人的照护能力。</w:t>
      </w:r>
      <w:r>
        <w:rPr>
          <w:rFonts w:hint="eastAsia" w:ascii="仿宋" w:hAnsi="仿宋" w:eastAsia="仿宋" w:cs="仿宋"/>
          <w:color w:val="000000"/>
          <w:sz w:val="32"/>
          <w:szCs w:val="32"/>
          <w:u w:val="none" w:color="auto"/>
          <w:shd w:val="clear" w:color="auto" w:fill="auto"/>
        </w:rPr>
        <w:t>构建苏木乡镇牵头</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嘎查村委员、老年人协会、低龄健康老年人、农村牧区留守妇女、村干部、党员、志愿者等广泛参与的农村牧区互助养老服务格局。完善农村牧区留守老年人关爱服务体系</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大力培育农村牧区为老服务社会组织，强化农村牧区老年人社会支持体系建设。鼓励农村集体建设用地优先用于发展养老服务。发展多种形式的牧区互助养老服务，加强牧区中心城镇综合养老服务设施建设，鼓励社会力量在牧区投资兴办面向失能、失智、高龄老年人的医养结合型养老机构。</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实施老年人居家和社区适老化改造工程</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z w:val="32"/>
          <w:szCs w:val="32"/>
          <w:u w:val="none" w:color="auto"/>
          <w:shd w:val="clear" w:color="auto" w:fill="auto"/>
        </w:rPr>
        <w:t>实施特殊困难老年人家庭适老化改造，通过政府购买服务、以奖代补等方式，支持老年人、残疾人比例高的老旧小区开展增设电梯、坡道等无障碍设施设备的适老化改造</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sz w:val="32"/>
          <w:szCs w:val="32"/>
          <w:u w:val="none" w:color="auto"/>
          <w:shd w:val="clear" w:color="auto" w:fill="auto"/>
        </w:rPr>
        <w:t>有条件的地区可采取政府补贴的方式，对纳入分散供养特困人员和符合兜底条件的高龄、失能、残疾老年人家庭实施居家适老化改造。</w:t>
      </w:r>
      <w:r>
        <w:rPr>
          <w:rFonts w:hint="eastAsia" w:ascii="仿宋" w:hAnsi="仿宋" w:eastAsia="仿宋" w:cs="仿宋"/>
          <w:color w:val="000000"/>
          <w:sz w:val="32"/>
          <w:szCs w:val="32"/>
          <w:u w:val="none" w:color="auto"/>
          <w:shd w:val="clear" w:color="auto" w:fill="auto"/>
        </w:rPr>
        <w:t>引导有需求的老年人家庭开展适老化改造，配合做好老旧小区适老化改造工作。支持社区养老设施配备康复辅助器具并提供专业指导。鼓励基层群众性自治组织、社区养老服务机构、老年人协会、企事业单位开展社区互助养老活动。</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b/>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推动养老机构提质发展。</w:t>
      </w:r>
      <w:r>
        <w:rPr>
          <w:rFonts w:hint="eastAsia" w:ascii="仿宋" w:hAnsi="仿宋" w:eastAsia="仿宋" w:cs="仿宋"/>
          <w:color w:val="000000"/>
          <w:sz w:val="32"/>
          <w:szCs w:val="32"/>
          <w:u w:val="none" w:color="auto"/>
          <w:shd w:val="clear" w:color="auto" w:fill="auto"/>
        </w:rPr>
        <w:t>深化公办养老机构改革，突出公办养老机构兜底和示范功能。制定并实施养老机构公建民营管理办法，鼓励有条件的公办养老服务设施通过承包经营、委托运营、联合经营等方式，引入企业或社会服务机构参与运营管理。引导社会办养老服务机构重点面向中低收入群体、适度面向中高收入群体，满足老年人多层次、个性化服务需求。促进服务衔接，引导和支持养老机构发挥专业优势，开展辐射周边的居家社区养老服务，形成具有带动示范作用的一批养老服务综合体。聚焦失能失智老年人长期照护服务的刚性需求，加快推动养老床位改造升级，制定相关支持政策，重点支持民办及各类养老机构提高护理型床位占比，到2025年，全区养老机构护理型床位占比不低于55%。鼓励养老机构品牌化连锁化发展。</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b/>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加快推进医养康养融合发展。</w:t>
      </w:r>
      <w:r>
        <w:rPr>
          <w:rFonts w:hint="eastAsia" w:ascii="仿宋" w:hAnsi="仿宋" w:eastAsia="仿宋" w:cs="仿宋"/>
          <w:color w:val="000000"/>
          <w:sz w:val="32"/>
          <w:szCs w:val="32"/>
          <w:u w:val="none" w:color="auto"/>
          <w:shd w:val="clear" w:color="auto" w:fill="auto"/>
        </w:rPr>
        <w:t>完善养老设施专项规划和区域卫生规划，推动社区综合养老服务中心与社区卫生服务站、护理站或其他医疗设施邻近设置。支持有条件的养老机构按相关规定申请开办各类康复医院、护理院、中医医院、安宁疗护机构等，重点为失能失智老年人提供所需的医疗护理和生活照护服务。建立健全养老机构与医疗卫生机构合作机制，鼓励多种形式的签约服务、协议合作，推动医疗卫生机构为养老机构开通就诊绿色通道，确保所有养老机构能够以不同形式为入住老年人提供医疗卫生服务。推进基层医疗卫生机构和医务人员与居家老人建立签约服务关系，为老年人提供健康管理服务。全面推行老年人健康理念、健康生活、健康膳食、健康运动、健康娱乐、健康管理、健康心理等服务，有效延长老年人健康生活状态，降低老年人失能发生率和阿尔茨海默症发病率，实现健康老龄化。</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提升应急救援能力</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z w:val="32"/>
          <w:szCs w:val="32"/>
          <w:u w:val="none" w:color="auto"/>
          <w:shd w:val="clear" w:color="auto" w:fill="auto"/>
        </w:rPr>
        <w:t>加强养老服务风险防控与应急救援机制建设。建立健全养老服务领域安全风险分级管控和隐患排查治理制度机制，加强消防安全、食品药品等风险排查与监测预警协同处置，提升养老服务机构安全生产整体防控能力。在自治区构建“分层分类、平战结合、高效协作”的养老服务应急救援体系框架下，建立健全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p>
    <w:p>
      <w:pPr>
        <w:pStyle w:val="2"/>
        <w:keepNext w:val="0"/>
        <w:keepLines w:val="0"/>
        <w:pageBreakBefore w:val="0"/>
        <w:widowControl w:val="0"/>
        <w:kinsoku/>
        <w:wordWrap/>
        <w:overflowPunct/>
        <w:topLinePunct w:val="0"/>
        <w:autoSpaceDE/>
        <w:autoSpaceDN/>
        <w:bidi w:val="0"/>
        <w:snapToGrid/>
        <w:spacing w:before="0" w:beforeAutospacing="0" w:after="0" w:line="580" w:lineRule="exact"/>
        <w:ind w:left="0" w:firstLine="420"/>
        <w:textAlignment w:val="auto"/>
        <w:rPr>
          <w:rFonts w:ascii="Calibri" w:hAnsi="Calibri" w:eastAsia="宋体" w:cs="仿宋"/>
          <w:color w:val="000000"/>
          <w:sz w:val="21"/>
          <w:szCs w:val="24"/>
          <w:u w:val="none" w:color="auto"/>
          <w:shd w:val="clear" w:color="auto" w:fill="auto"/>
        </w:rPr>
      </w:pP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313" w:afterLines="100" w:line="580" w:lineRule="exact"/>
        <w:ind w:left="0" w:leftChars="0" w:firstLine="658" w:firstLineChars="0"/>
        <w:jc w:val="center"/>
        <w:textAlignment w:val="auto"/>
        <w:outlineLvl w:val="1"/>
        <w:rPr>
          <w:rFonts w:hint="eastAsia" w:ascii="楷体" w:hAnsi="楷体" w:eastAsia="楷体" w:cs="楷体"/>
          <w:color w:val="000000"/>
          <w:sz w:val="32"/>
          <w:szCs w:val="32"/>
          <w:u w:val="none" w:color="auto"/>
          <w:shd w:val="clear" w:color="auto" w:fill="auto"/>
        </w:rPr>
      </w:pPr>
      <w:bookmarkStart w:id="68" w:name="_Toc20721"/>
      <w:r>
        <w:rPr>
          <w:rFonts w:hint="eastAsia" w:ascii="楷体" w:hAnsi="楷体" w:eastAsia="楷体" w:cs="楷体"/>
          <w:color w:val="000000"/>
          <w:sz w:val="32"/>
          <w:szCs w:val="32"/>
          <w:u w:val="none" w:color="auto"/>
          <w:shd w:val="clear" w:color="auto" w:fill="auto"/>
          <w:lang w:val="en-US" w:eastAsia="zh-CN"/>
        </w:rPr>
        <w:t xml:space="preserve"> </w:t>
      </w:r>
      <w:r>
        <w:rPr>
          <w:rFonts w:hint="eastAsia" w:ascii="楷体" w:hAnsi="楷体" w:eastAsia="楷体" w:cs="楷体"/>
          <w:color w:val="000000"/>
          <w:sz w:val="32"/>
          <w:szCs w:val="32"/>
          <w:u w:val="none" w:color="auto"/>
          <w:shd w:val="clear" w:color="auto" w:fill="auto"/>
        </w:rPr>
        <w:t>发展壮大养老服务产业</w:t>
      </w:r>
      <w:bookmarkEnd w:id="68"/>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培育养老产业主体</w:t>
      </w:r>
      <w:r>
        <w:rPr>
          <w:rFonts w:hint="eastAsia" w:ascii="仿宋" w:hAnsi="仿宋" w:eastAsia="仿宋" w:cs="仿宋"/>
          <w:color w:val="000000"/>
          <w:sz w:val="32"/>
          <w:szCs w:val="32"/>
          <w:u w:val="none" w:color="auto"/>
          <w:shd w:val="clear" w:color="auto" w:fill="auto"/>
        </w:rPr>
        <w:t>。</w:t>
      </w:r>
      <w:r>
        <w:rPr>
          <w:rFonts w:hint="eastAsia" w:ascii="仿宋" w:hAnsi="仿宋" w:eastAsia="仿宋" w:cs="仿宋"/>
          <w:color w:val="000000"/>
          <w:spacing w:val="0"/>
          <w:sz w:val="32"/>
          <w:szCs w:val="32"/>
          <w:u w:val="none" w:color="auto"/>
          <w:shd w:val="clear" w:color="auto" w:fill="auto"/>
        </w:rPr>
        <w:t>实施“养老服务+行业”行动，促进养老服务与文化、旅游、餐饮、体育、家政、教育、养生、健康、金融、地产等行业融合发展。培育发展多元化养老服务新业态。依托自治区养老产业基金，发挥对养老产业关键领域和重大项目的投资带动作用</w:t>
      </w:r>
      <w:r>
        <w:rPr>
          <w:rFonts w:hint="eastAsia" w:ascii="仿宋" w:hAnsi="仿宋" w:eastAsia="仿宋" w:cs="仿宋"/>
          <w:color w:val="000000"/>
          <w:spacing w:val="0"/>
          <w:sz w:val="32"/>
          <w:szCs w:val="32"/>
          <w:u w:val="none" w:color="auto"/>
          <w:shd w:val="clear" w:color="auto" w:fill="auto"/>
          <w:lang w:eastAsia="zh-CN"/>
        </w:rPr>
        <w:t>。</w:t>
      </w:r>
      <w:r>
        <w:rPr>
          <w:rFonts w:hint="eastAsia" w:ascii="仿宋" w:hAnsi="仿宋" w:eastAsia="仿宋" w:cs="仿宋"/>
          <w:color w:val="000000"/>
          <w:spacing w:val="0"/>
          <w:sz w:val="32"/>
          <w:szCs w:val="32"/>
          <w:u w:val="none" w:color="auto"/>
          <w:shd w:val="clear" w:color="auto" w:fill="auto"/>
        </w:rPr>
        <w:t>培育满足老年人需求的健康产品专业化生产研发基地，促进养老企业连锁化、集团化发展，形成一批产业链长、覆盖领域广、经济社会效益显著的产业集群和集聚区。</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color w:val="000000"/>
          <w:sz w:val="32"/>
          <w:szCs w:val="32"/>
          <w:u w:val="none" w:color="auto"/>
          <w:shd w:val="clear" w:color="auto" w:fill="auto"/>
        </w:rPr>
        <w:t>促进老年用品开发</w:t>
      </w:r>
      <w:r>
        <w:rPr>
          <w:rFonts w:hint="eastAsia" w:ascii="仿宋" w:hAnsi="仿宋" w:eastAsia="仿宋" w:cs="仿宋"/>
          <w:color w:val="000000"/>
          <w:sz w:val="32"/>
          <w:szCs w:val="32"/>
          <w:u w:val="none" w:color="auto"/>
          <w:shd w:val="clear" w:color="auto" w:fill="auto"/>
        </w:rPr>
        <w:t>。发展银发经济，持续推进康复辅助器具应用推广工程，建立康复辅助器具产品和服务信息平台，加强行业需求统计及应用分析，鼓励相关科研单位和企业进行老年人康复训练及促进健康辅具、服装服饰、养老照护产品、日用辅助产品、适老化环境改善产品等老年用品的研发生产，完善检验检测技术保障体系，为老年人提供高质高效的康复训练和日常生活用品。支持新兴材料、人工智能、虚拟现实等新技术在养老服务领域的集成应用与推广。开发适老化技术和产品，重点发展适老康复辅助器具、智能穿戴设备、服务型机器人与无障碍科技产品。</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培育老年消费市场</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pacing w:val="4"/>
          <w:sz w:val="32"/>
          <w:szCs w:val="32"/>
          <w:u w:val="none" w:color="auto"/>
          <w:shd w:val="clear" w:color="auto" w:fill="auto"/>
        </w:rPr>
        <w:t>充分发挥市场在资源配置中的决定作用，逐步使社会力量成为发展养老服务业的主体，营造平等参与、公平竞争的市场环境。健全市场规范和行业标准，营造安全、便利、诚信的养老消费环境。推动老年用品进家庭、社区、机构和园区，带动产品供给和产业发展。正确引导老年人的消费观念和消费行为，促进老年消费市场繁荣发展。规范市场行为，加大市场监管力度，严厉打击假冒伪劣商品制售行为。</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69" w:name="_Toc25299"/>
      <w:r>
        <w:rPr>
          <w:rFonts w:hint="eastAsia" w:ascii="楷体" w:hAnsi="楷体" w:eastAsia="楷体" w:cs="楷体"/>
          <w:bCs/>
          <w:color w:val="000000"/>
          <w:sz w:val="32"/>
          <w:szCs w:val="32"/>
          <w:u w:val="none" w:color="auto"/>
          <w:shd w:val="clear" w:color="auto" w:fill="auto"/>
        </w:rPr>
        <w:t xml:space="preserve">第四节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加强养老人才队伍建设</w:t>
      </w:r>
      <w:bookmarkEnd w:id="69"/>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建立健全人才教育培训体系</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z w:val="32"/>
          <w:szCs w:val="32"/>
          <w:u w:val="none" w:color="auto"/>
          <w:shd w:val="clear" w:color="auto" w:fill="auto"/>
        </w:rPr>
        <w:t>开展养老服务人才培训提升行动，推进养老服务与管理、老年生活照料、老年医疗护理、老年营养和健康管理、老年社会工作、老年康复辅助器具、老年心理等养老服务相关专业教育体系建设，通过在高等职业院校、</w:t>
      </w:r>
      <w:r>
        <w:rPr>
          <w:rFonts w:hint="eastAsia" w:ascii="仿宋" w:hAnsi="仿宋" w:eastAsia="仿宋" w:cs="仿宋"/>
          <w:sz w:val="32"/>
          <w:szCs w:val="32"/>
          <w:u w:val="none" w:color="auto"/>
          <w:shd w:val="clear" w:color="auto" w:fill="auto"/>
        </w:rPr>
        <w:t>技工院校</w:t>
      </w:r>
      <w:r>
        <w:rPr>
          <w:rFonts w:hint="eastAsia" w:ascii="仿宋" w:hAnsi="仿宋" w:eastAsia="仿宋" w:cs="仿宋"/>
          <w:sz w:val="32"/>
          <w:szCs w:val="32"/>
          <w:u w:val="none" w:color="auto"/>
          <w:shd w:val="clear" w:color="auto" w:fill="auto"/>
          <w:lang w:eastAsia="zh-CN"/>
        </w:rPr>
        <w:t>等</w:t>
      </w:r>
      <w:r>
        <w:rPr>
          <w:rFonts w:hint="eastAsia" w:ascii="仿宋" w:hAnsi="仿宋" w:eastAsia="仿宋" w:cs="仿宋"/>
          <w:color w:val="000000"/>
          <w:sz w:val="32"/>
          <w:szCs w:val="32"/>
          <w:u w:val="none" w:color="auto"/>
          <w:shd w:val="clear" w:color="auto" w:fill="auto"/>
        </w:rPr>
        <w:t>开设养老护理专业、校企合作等方式，开展养老护理员职业技能提升行动，对养老护理员、养老院院长、老年社会工作者进行培训，到2025年</w:t>
      </w:r>
      <w:r>
        <w:rPr>
          <w:rFonts w:hint="eastAsia" w:ascii="仿宋" w:hAnsi="仿宋" w:eastAsia="仿宋" w:cs="仿宋"/>
          <w:color w:val="000000"/>
          <w:sz w:val="32"/>
          <w:szCs w:val="32"/>
          <w:u w:val="none" w:color="auto"/>
          <w:shd w:val="clear" w:color="auto" w:fill="auto"/>
          <w:lang w:eastAsia="zh-CN"/>
        </w:rPr>
        <w:t>底</w:t>
      </w:r>
      <w:r>
        <w:rPr>
          <w:rFonts w:hint="eastAsia" w:ascii="仿宋" w:hAnsi="仿宋" w:eastAsia="仿宋" w:cs="仿宋"/>
          <w:color w:val="000000"/>
          <w:sz w:val="32"/>
          <w:szCs w:val="32"/>
          <w:u w:val="none" w:color="auto"/>
          <w:shd w:val="clear" w:color="auto" w:fill="auto"/>
        </w:rPr>
        <w:t>，全区力争培训养老护理员1.5万人次，培训养老院院长3000人次。</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建立养老人才激励机制。</w:t>
      </w:r>
      <w:r>
        <w:rPr>
          <w:rFonts w:hint="eastAsia" w:ascii="仿宋" w:hAnsi="仿宋" w:eastAsia="仿宋" w:cs="仿宋"/>
          <w:color w:val="000000"/>
          <w:sz w:val="32"/>
          <w:szCs w:val="32"/>
          <w:u w:val="none" w:color="auto"/>
          <w:shd w:val="clear" w:color="auto" w:fill="auto"/>
        </w:rPr>
        <w:t>建立健全养老护理员职业技能等级认定制度，完善养老服务人员职业技能等级、工作业绩、服务质量等因素与薪酬待遇挂钩机制。建立养老服务行业激励机制和养老服务机构内部激励制度，开展养老护理员职业技能竞赛和表彰。支持有条件的地区制定入职补贴、免费培训和工龄补贴等优惠政策，开展养老护理员关爱活动，提高养老护理员地位待遇。逐步建立养老服务业职业经理人制度，促进养老服务经营管理职业化、专业化。</w:t>
      </w:r>
    </w:p>
    <w:p>
      <w:pPr>
        <w:keepNext w:val="0"/>
        <w:keepLines w:val="0"/>
        <w:pageBreakBefore w:val="0"/>
        <w:widowControl w:val="0"/>
        <w:kinsoku/>
        <w:wordWrap/>
        <w:overflowPunct/>
        <w:topLinePunct w:val="0"/>
        <w:autoSpaceDE/>
        <w:autoSpaceDN/>
        <w:bidi w:val="0"/>
        <w:snapToGrid/>
        <w:spacing w:beforeAutospacing="0" w:line="580" w:lineRule="exact"/>
        <w:ind w:left="0" w:firstLine="641"/>
        <w:jc w:val="both"/>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培养养老社会工作专业人才</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z w:val="32"/>
          <w:szCs w:val="32"/>
          <w:u w:val="none" w:color="auto"/>
          <w:shd w:val="clear" w:color="auto" w:fill="auto"/>
        </w:rPr>
        <w:t>大力培养为老年人服务的社会工作专业人才，通过为老服务知识和技能培训，提升专兼职社会工作者技能水平。加大养老服务机构社会工作岗位开发力度，推</w:t>
      </w:r>
      <w:r>
        <w:rPr>
          <w:rFonts w:hint="eastAsia" w:ascii="仿宋" w:hAnsi="仿宋" w:eastAsia="仿宋" w:cs="仿宋"/>
          <w:color w:val="000000"/>
          <w:spacing w:val="6"/>
          <w:sz w:val="32"/>
          <w:szCs w:val="32"/>
          <w:u w:val="none" w:color="auto"/>
          <w:shd w:val="clear" w:color="auto" w:fill="auto"/>
        </w:rPr>
        <w:t>动将养老服务纳入政府采购社会工作服务项目，支持社会工作服务机构打造养老服务特色项目。充分发挥社会工作者作用，</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十四五</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期间增加为老年人和养老机构服务的社会工作者人数。通过居家入户和社区活动等形式为老年人提供针对性强、便利可及的服务。</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楷体" w:hAnsi="楷体" w:eastAsia="楷体" w:cs="楷体"/>
          <w:bCs/>
          <w:color w:val="000000"/>
          <w:sz w:val="32"/>
          <w:szCs w:val="32"/>
          <w:u w:val="none" w:color="auto"/>
          <w:shd w:val="clear" w:color="auto" w:fill="auto"/>
        </w:rPr>
      </w:pPr>
      <w:bookmarkStart w:id="70" w:name="_Toc22110"/>
      <w:r>
        <w:rPr>
          <w:rFonts w:hint="eastAsia" w:ascii="楷体" w:hAnsi="楷体" w:eastAsia="楷体" w:cs="楷体"/>
          <w:bCs/>
          <w:color w:val="000000"/>
          <w:sz w:val="32"/>
          <w:szCs w:val="32"/>
          <w:u w:val="none" w:color="auto"/>
          <w:shd w:val="clear" w:color="auto" w:fill="auto"/>
        </w:rPr>
        <w:t>第五节</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 xml:space="preserve"> 提升综合监管水平</w:t>
      </w:r>
      <w:bookmarkEnd w:id="70"/>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健全综合监管体系</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z w:val="32"/>
          <w:szCs w:val="32"/>
          <w:u w:val="none" w:color="auto"/>
          <w:shd w:val="clear" w:color="auto" w:fill="auto"/>
        </w:rPr>
        <w:t>完善以“双随机、一公开”监管为基本手段、以重点监管为补充、以信用监管为基础，衔接事前、事中、事后全监管环节的新型监管机制</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建立“养老服务+信用”机制，建立覆盖从业人员和服务对象的信用管理体系，对失信责任主体实施多部门跨地区联合惩戒</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强化养老行业诚信自律，完善守法诚信褒奖机制。加强对养老服务机构申领政府提供的建设运营补贴资金的监督管理，加强对政府购买养老服务的监督管理，加强对养老服务机构预收服务费用的规范管理。</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推进标准化建设。</w:t>
      </w:r>
      <w:r>
        <w:rPr>
          <w:rFonts w:hint="eastAsia" w:ascii="仿宋" w:hAnsi="仿宋" w:eastAsia="仿宋" w:cs="仿宋"/>
          <w:color w:val="000000"/>
          <w:sz w:val="32"/>
          <w:szCs w:val="32"/>
          <w:u w:val="none" w:color="auto"/>
          <w:shd w:val="clear" w:color="auto" w:fill="auto"/>
        </w:rPr>
        <w:t>按照国家加快建立全国统一养老服务质量标准和评价体系统一部署，全面落实《养老机构等级划分与评定》</w:t>
      </w:r>
      <w:r>
        <w:rPr>
          <w:rFonts w:hint="eastAsia" w:ascii="仿宋" w:hAnsi="仿宋" w:eastAsia="仿宋" w:cs="仿宋"/>
          <w:color w:val="000000"/>
          <w:sz w:val="32"/>
          <w:szCs w:val="32"/>
          <w:u w:val="none" w:color="auto"/>
          <w:shd w:val="clear" w:color="auto" w:fill="auto"/>
          <w:lang w:eastAsia="zh-CN"/>
        </w:rPr>
        <w:t>标准</w:t>
      </w:r>
      <w:r>
        <w:rPr>
          <w:rFonts w:hint="eastAsia" w:ascii="仿宋" w:hAnsi="仿宋" w:eastAsia="仿宋" w:cs="仿宋"/>
          <w:color w:val="000000"/>
          <w:sz w:val="32"/>
          <w:szCs w:val="32"/>
          <w:u w:val="none" w:color="auto"/>
          <w:shd w:val="clear" w:color="auto" w:fill="auto"/>
        </w:rPr>
        <w:t>，组织开展全区养老机构等级评定工作。评定结果作为养老机构领取补贴资金的依据。全面推进《养老机构服务安全基本规范》国家强制性标准达标工作，督导全区所有养老机构全部达标。引导养老机构不断优化内部管理，规范服务行为，妥善处置纠纷。</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hint="eastAsia"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加强风险防控和监测</w:t>
      </w:r>
      <w:r>
        <w:rPr>
          <w:rFonts w:hint="eastAsia" w:ascii="仿宋" w:hAnsi="仿宋" w:eastAsia="仿宋" w:cs="仿宋"/>
          <w:bCs/>
          <w:color w:val="000000"/>
          <w:sz w:val="32"/>
          <w:szCs w:val="32"/>
          <w:u w:val="none" w:color="auto"/>
          <w:shd w:val="clear" w:color="auto" w:fill="auto"/>
        </w:rPr>
        <w:t>。</w:t>
      </w:r>
      <w:r>
        <w:rPr>
          <w:rFonts w:hint="eastAsia" w:ascii="仿宋" w:hAnsi="仿宋" w:eastAsia="仿宋" w:cs="仿宋"/>
          <w:color w:val="000000"/>
          <w:sz w:val="32"/>
          <w:szCs w:val="32"/>
          <w:u w:val="none" w:color="auto"/>
          <w:shd w:val="clear" w:color="auto" w:fill="auto"/>
        </w:rPr>
        <w:t>落实养老服务领域非法集资处置工作中的防范、监测、预警和及时移送工作责任，建立协同机制，指导各地</w:t>
      </w:r>
      <w:r>
        <w:rPr>
          <w:rFonts w:hint="eastAsia" w:ascii="仿宋" w:hAnsi="仿宋" w:eastAsia="仿宋" w:cs="仿宋"/>
          <w:color w:val="000000"/>
          <w:sz w:val="32"/>
          <w:szCs w:val="32"/>
          <w:u w:val="none" w:color="auto"/>
          <w:shd w:val="clear" w:color="auto" w:fill="auto"/>
          <w:lang w:eastAsia="zh-CN"/>
        </w:rPr>
        <w:t>区</w:t>
      </w:r>
      <w:r>
        <w:rPr>
          <w:rFonts w:hint="eastAsia" w:ascii="仿宋" w:hAnsi="仿宋" w:eastAsia="仿宋" w:cs="仿宋"/>
          <w:color w:val="000000"/>
          <w:sz w:val="32"/>
          <w:szCs w:val="32"/>
          <w:u w:val="none" w:color="auto"/>
          <w:shd w:val="clear" w:color="auto" w:fill="auto"/>
        </w:rPr>
        <w:t>将涉嫌非法集资问题的养老机构列为失信联合惩戒对象，实施联合惩戒。指导各地</w:t>
      </w:r>
      <w:r>
        <w:rPr>
          <w:rFonts w:hint="eastAsia" w:ascii="仿宋" w:hAnsi="仿宋" w:eastAsia="仿宋" w:cs="仿宋"/>
          <w:color w:val="000000"/>
          <w:sz w:val="32"/>
          <w:szCs w:val="32"/>
          <w:u w:val="none" w:color="auto"/>
          <w:shd w:val="clear" w:color="auto" w:fill="auto"/>
          <w:lang w:eastAsia="zh-CN"/>
        </w:rPr>
        <w:t>区</w:t>
      </w:r>
      <w:r>
        <w:rPr>
          <w:rFonts w:hint="eastAsia" w:ascii="仿宋" w:hAnsi="仿宋" w:eastAsia="仿宋" w:cs="仿宋"/>
          <w:color w:val="000000"/>
          <w:sz w:val="32"/>
          <w:szCs w:val="32"/>
          <w:u w:val="none" w:color="auto"/>
          <w:shd w:val="clear" w:color="auto" w:fill="auto"/>
        </w:rPr>
        <w:t>常态化</w:t>
      </w:r>
      <w:r>
        <w:rPr>
          <w:rFonts w:hint="eastAsia" w:ascii="仿宋" w:hAnsi="仿宋" w:eastAsia="仿宋" w:cs="仿宋"/>
          <w:color w:val="000000"/>
          <w:sz w:val="32"/>
          <w:szCs w:val="32"/>
          <w:u w:val="none" w:color="auto"/>
          <w:shd w:val="clear" w:color="auto" w:fill="auto"/>
          <w:lang w:eastAsia="zh-CN"/>
        </w:rPr>
        <w:t>开展</w:t>
      </w:r>
      <w:r>
        <w:rPr>
          <w:rFonts w:hint="eastAsia" w:ascii="仿宋" w:hAnsi="仿宋" w:eastAsia="仿宋" w:cs="仿宋"/>
          <w:color w:val="000000"/>
          <w:sz w:val="32"/>
          <w:szCs w:val="32"/>
          <w:u w:val="none" w:color="auto"/>
          <w:shd w:val="clear" w:color="auto" w:fill="auto"/>
        </w:rPr>
        <w:t>涉嫌非法集资识骗防骗教育宣传，增强老年人群体识别防范能力。按照“谁审批谁监管、谁主管谁监管”原则，引导养老服务机构立足长期安全运营，落实安全责任，主动防范消除本机构在建筑、消防、食品、医疗卫生等方面的安全风险和隐患。</w:t>
      </w:r>
    </w:p>
    <w:p>
      <w:pPr>
        <w:rPr>
          <w:rFonts w:hint="eastAsia"/>
        </w:rPr>
      </w:pPr>
      <w:bookmarkStart w:id="80" w:name="_GoBack"/>
      <w:bookmarkEnd w:id="80"/>
    </w:p>
    <w:tbl>
      <w:tblPr>
        <w:tblStyle w:val="1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17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snapToGrid/>
              <w:spacing w:beforeAutospacing="0" w:line="580" w:lineRule="exact"/>
              <w:ind w:left="0"/>
              <w:jc w:val="center"/>
              <w:textAlignment w:val="auto"/>
              <w:rPr>
                <w:rFonts w:ascii="黑体" w:hAnsi="黑体" w:eastAsia="黑体" w:cs="黑体"/>
                <w:color w:val="000000"/>
                <w:sz w:val="32"/>
                <w:szCs w:val="32"/>
                <w:u w:val="none" w:color="auto"/>
                <w:shd w:val="clear" w:color="auto" w:fill="auto"/>
              </w:rPr>
            </w:pPr>
            <w:r>
              <w:rPr>
                <w:rFonts w:hint="eastAsia" w:ascii="黑体" w:hAnsi="黑体" w:eastAsia="黑体" w:cs="黑体"/>
                <w:bCs/>
                <w:color w:val="000000"/>
                <w:sz w:val="32"/>
                <w:szCs w:val="32"/>
                <w:u w:val="none" w:color="auto"/>
                <w:shd w:val="clear" w:color="auto" w:fill="auto"/>
              </w:rPr>
              <w:t>专栏9  养老服务设施建设工程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jc w:val="center"/>
        </w:trPr>
        <w:tc>
          <w:tcPr>
            <w:tcW w:w="9174" w:type="dxa"/>
            <w:tcBorders>
              <w:top w:val="single" w:color="auto" w:sz="4" w:space="0"/>
              <w:left w:val="single" w:color="auto" w:sz="4" w:space="0"/>
              <w:bottom w:val="single" w:color="auto" w:sz="4" w:space="0"/>
              <w:right w:val="single" w:color="auto" w:sz="4" w:space="0"/>
            </w:tcBorders>
            <w:vAlign w:val="top"/>
          </w:tcPr>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1.特殊困难家庭适老化改造</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聚焦特殊困难高龄、失能、残疾老年人需求，以施工改造、设施配备、老年用品配置等形式，支持1万户困难家庭实施适老化改造。</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2.居家社区养老服务网络建设</w:t>
            </w:r>
          </w:p>
          <w:p>
            <w:pPr>
              <w:keepNext w:val="0"/>
              <w:keepLines w:val="0"/>
              <w:pageBreakBefore w:val="0"/>
              <w:widowControl w:val="0"/>
              <w:kinsoku/>
              <w:wordWrap/>
              <w:overflowPunct/>
              <w:topLinePunct w:val="0"/>
              <w:autoSpaceDE/>
              <w:autoSpaceDN/>
              <w:bidi w:val="0"/>
              <w:adjustRightInd/>
              <w:snapToGrid/>
              <w:spacing w:beforeAutospacing="0" w:line="400" w:lineRule="exact"/>
              <w:ind w:left="0" w:firstLine="560" w:firstLineChars="200"/>
              <w:textAlignment w:val="auto"/>
              <w:rPr>
                <w:rFonts w:ascii="宋体" w:hAnsi="宋体" w:eastAsia="仿宋" w:cs="宋体"/>
                <w:color w:val="000000"/>
                <w:kern w:val="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推动建设“一刻钟”居家养老服务圈。到2</w:t>
            </w:r>
            <w:r>
              <w:rPr>
                <w:rFonts w:ascii="仿宋" w:hAnsi="仿宋" w:eastAsia="仿宋" w:cs="仿宋"/>
                <w:color w:val="000000"/>
                <w:sz w:val="28"/>
                <w:szCs w:val="28"/>
                <w:u w:val="none" w:color="auto"/>
                <w:shd w:val="clear" w:color="auto" w:fill="auto"/>
              </w:rPr>
              <w:t>022</w:t>
            </w:r>
            <w:r>
              <w:rPr>
                <w:rFonts w:hint="eastAsia" w:ascii="仿宋" w:hAnsi="仿宋" w:eastAsia="仿宋" w:cs="仿宋"/>
                <w:color w:val="000000"/>
                <w:sz w:val="28"/>
                <w:szCs w:val="28"/>
                <w:u w:val="none" w:color="auto"/>
                <w:shd w:val="clear" w:color="auto" w:fill="auto"/>
              </w:rPr>
              <w:t>年，每个街道建设一个具备综合功能的养老服务中心</w:t>
            </w:r>
            <w:r>
              <w:rPr>
                <w:rFonts w:hint="eastAsia" w:ascii="仿宋" w:hAnsi="仿宋" w:eastAsia="仿宋" w:cs="仿宋"/>
                <w:color w:val="000000"/>
                <w:sz w:val="28"/>
                <w:szCs w:val="28"/>
                <w:u w:val="none" w:color="auto"/>
                <w:shd w:val="clear" w:color="auto" w:fill="auto"/>
                <w:lang w:eastAsia="zh-CN"/>
              </w:rPr>
              <w:t>。</w:t>
            </w:r>
            <w:r>
              <w:rPr>
                <w:rFonts w:hint="eastAsia" w:ascii="仿宋" w:hAnsi="仿宋" w:eastAsia="仿宋" w:cs="仿宋"/>
                <w:color w:val="000000"/>
                <w:sz w:val="28"/>
                <w:szCs w:val="28"/>
                <w:u w:val="none" w:color="auto"/>
                <w:shd w:val="clear" w:color="auto" w:fill="auto"/>
              </w:rPr>
              <w:t>加强社区养老服务机构建设，全区社区日间照料机构覆盖率达到90%以上。</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b/>
                <w:bCs/>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3.农村养老服务中心建设</w:t>
            </w:r>
          </w:p>
          <w:p>
            <w:pPr>
              <w:keepNext w:val="0"/>
              <w:keepLines w:val="0"/>
              <w:pageBreakBefore w:val="0"/>
              <w:widowControl w:val="0"/>
              <w:kinsoku/>
              <w:wordWrap/>
              <w:overflowPunct/>
              <w:topLinePunct w:val="0"/>
              <w:autoSpaceDE/>
              <w:autoSpaceDN/>
              <w:bidi w:val="0"/>
              <w:adjustRightInd/>
              <w:snapToGrid/>
              <w:spacing w:beforeAutospacing="0" w:line="400" w:lineRule="exact"/>
              <w:ind w:left="0" w:firstLine="560" w:firstLineChars="200"/>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优化</w:t>
            </w:r>
            <w:r>
              <w:rPr>
                <w:rFonts w:hint="eastAsia" w:ascii="仿宋" w:hAnsi="仿宋" w:eastAsia="仿宋" w:cs="仿宋"/>
                <w:color w:val="000000"/>
                <w:sz w:val="28"/>
                <w:szCs w:val="28"/>
                <w:u w:val="none" w:color="auto"/>
                <w:shd w:val="clear" w:color="auto" w:fill="auto"/>
                <w:lang w:eastAsia="zh-CN"/>
              </w:rPr>
              <w:t>旗</w:t>
            </w:r>
            <w:r>
              <w:rPr>
                <w:rFonts w:hint="eastAsia" w:ascii="仿宋" w:hAnsi="仿宋" w:eastAsia="仿宋" w:cs="仿宋"/>
                <w:color w:val="000000"/>
                <w:sz w:val="28"/>
                <w:szCs w:val="28"/>
                <w:u w:val="none" w:color="auto"/>
                <w:shd w:val="clear" w:color="auto" w:fill="auto"/>
              </w:rPr>
              <w:t>县域养老服务设施布局</w:t>
            </w:r>
            <w:r>
              <w:rPr>
                <w:rFonts w:hint="eastAsia" w:ascii="仿宋" w:hAnsi="仿宋" w:eastAsia="仿宋" w:cs="仿宋"/>
                <w:color w:val="000000"/>
                <w:sz w:val="28"/>
                <w:szCs w:val="28"/>
                <w:u w:val="none" w:color="auto"/>
                <w:shd w:val="clear" w:color="auto" w:fill="auto"/>
                <w:lang w:eastAsia="zh-CN"/>
              </w:rPr>
              <w:t>，</w:t>
            </w:r>
            <w:r>
              <w:rPr>
                <w:rFonts w:hint="eastAsia" w:ascii="仿宋" w:hAnsi="仿宋" w:eastAsia="仿宋" w:cs="仿宋"/>
                <w:color w:val="000000"/>
                <w:sz w:val="28"/>
                <w:szCs w:val="28"/>
                <w:u w:val="none" w:color="auto"/>
                <w:shd w:val="clear" w:color="auto" w:fill="auto"/>
              </w:rPr>
              <w:t>构建以旗县级特困人员供养服务机构为中心，以</w:t>
            </w:r>
            <w:r>
              <w:rPr>
                <w:rFonts w:hint="eastAsia" w:ascii="仿宋" w:hAnsi="仿宋" w:eastAsia="仿宋" w:cs="仿宋"/>
                <w:color w:val="000000"/>
                <w:sz w:val="28"/>
                <w:szCs w:val="28"/>
                <w:u w:val="none" w:color="auto"/>
                <w:shd w:val="clear" w:color="auto" w:fill="auto"/>
                <w:lang w:eastAsia="zh-CN"/>
              </w:rPr>
              <w:t>苏木</w:t>
            </w:r>
            <w:r>
              <w:rPr>
                <w:rFonts w:hint="eastAsia" w:ascii="仿宋" w:hAnsi="仿宋" w:eastAsia="仿宋" w:cs="仿宋"/>
                <w:color w:val="000000"/>
                <w:sz w:val="28"/>
                <w:szCs w:val="28"/>
                <w:u w:val="none" w:color="auto"/>
                <w:shd w:val="clear" w:color="auto" w:fill="auto"/>
              </w:rPr>
              <w:t>乡镇敬老院为辐射，以互助幸福院为补充的三级农村养老服务网络。支持有条件的敬老院转型为养老服务中心，到2025年，支持110所敬老院转型升级，推动在苏木乡镇建设具备全托、日托、上门服务等综合功能的养老服务中心，在人口较多</w:t>
            </w:r>
            <w:r>
              <w:rPr>
                <w:rFonts w:hint="eastAsia" w:ascii="仿宋" w:hAnsi="仿宋" w:eastAsia="仿宋" w:cs="仿宋"/>
                <w:color w:val="000000"/>
                <w:sz w:val="28"/>
                <w:szCs w:val="28"/>
                <w:u w:val="none" w:color="auto"/>
                <w:shd w:val="clear" w:color="auto" w:fill="auto"/>
                <w:lang w:eastAsia="zh-CN"/>
              </w:rPr>
              <w:t>苏木</w:t>
            </w:r>
            <w:r>
              <w:rPr>
                <w:rFonts w:hint="eastAsia" w:ascii="仿宋" w:hAnsi="仿宋" w:eastAsia="仿宋" w:cs="仿宋"/>
                <w:color w:val="000000"/>
                <w:sz w:val="28"/>
                <w:szCs w:val="28"/>
                <w:u w:val="none" w:color="auto"/>
                <w:shd w:val="clear" w:color="auto" w:fill="auto"/>
              </w:rPr>
              <w:t>乡镇建设260个</w:t>
            </w:r>
            <w:r>
              <w:rPr>
                <w:rFonts w:hint="eastAsia" w:ascii="仿宋" w:hAnsi="仿宋" w:eastAsia="仿宋" w:cs="仿宋"/>
                <w:color w:val="000000"/>
                <w:sz w:val="28"/>
                <w:szCs w:val="28"/>
                <w:u w:val="none" w:color="auto"/>
                <w:shd w:val="clear" w:color="auto" w:fill="auto"/>
                <w:lang w:eastAsia="zh-CN"/>
              </w:rPr>
              <w:t>苏木</w:t>
            </w:r>
            <w:r>
              <w:rPr>
                <w:rFonts w:hint="eastAsia" w:ascii="仿宋" w:hAnsi="仿宋" w:eastAsia="仿宋" w:cs="仿宋"/>
                <w:color w:val="000000"/>
                <w:sz w:val="28"/>
                <w:szCs w:val="28"/>
                <w:u w:val="none" w:color="auto"/>
                <w:shd w:val="clear" w:color="auto" w:fill="auto"/>
              </w:rPr>
              <w:t>乡镇养老服务中心，到2025年底，农村</w:t>
            </w:r>
            <w:r>
              <w:rPr>
                <w:rFonts w:hint="eastAsia" w:ascii="仿宋" w:hAnsi="仿宋" w:eastAsia="仿宋" w:cs="仿宋"/>
                <w:color w:val="000000"/>
                <w:sz w:val="28"/>
                <w:szCs w:val="28"/>
                <w:u w:val="none" w:color="auto"/>
                <w:shd w:val="clear" w:color="auto" w:fill="auto"/>
                <w:lang w:eastAsia="zh-CN"/>
              </w:rPr>
              <w:t>牧区</w:t>
            </w:r>
            <w:r>
              <w:rPr>
                <w:rFonts w:hint="eastAsia" w:ascii="仿宋" w:hAnsi="仿宋" w:eastAsia="仿宋" w:cs="仿宋"/>
                <w:color w:val="000000"/>
                <w:sz w:val="28"/>
                <w:szCs w:val="28"/>
                <w:u w:val="none" w:color="auto"/>
                <w:shd w:val="clear" w:color="auto" w:fill="auto"/>
              </w:rPr>
              <w:t>养老服务中心覆盖率总体达到</w:t>
            </w:r>
            <w:r>
              <w:rPr>
                <w:rFonts w:ascii="仿宋" w:hAnsi="仿宋" w:eastAsia="仿宋" w:cs="仿宋"/>
                <w:color w:val="000000"/>
                <w:sz w:val="28"/>
                <w:szCs w:val="28"/>
                <w:u w:val="none" w:color="auto"/>
                <w:shd w:val="clear" w:color="auto" w:fill="auto"/>
              </w:rPr>
              <w:t>5</w:t>
            </w:r>
            <w:r>
              <w:rPr>
                <w:rFonts w:hint="eastAsia" w:ascii="仿宋" w:hAnsi="仿宋" w:eastAsia="仿宋" w:cs="仿宋"/>
                <w:color w:val="000000"/>
                <w:sz w:val="28"/>
                <w:szCs w:val="28"/>
                <w:u w:val="none" w:color="auto"/>
                <w:shd w:val="clear" w:color="auto" w:fill="auto"/>
              </w:rPr>
              <w:t>0%。</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4.养老机构护理能力提升</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支持旗县（市、区）建设提供专业化失能照护服务的养老服务机构。聚焦失能失智老年人长期照护服务的刚性需求，加快推动养老床位改造升级，支持养老机构提高护理型床位占比，到2025年，全区养老机构护理型床位占比不低于55%。</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5.应急救援能力提升</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color w:val="000000"/>
                <w:sz w:val="28"/>
                <w:szCs w:val="28"/>
                <w:u w:val="none" w:color="auto"/>
                <w:shd w:val="clear" w:color="auto" w:fill="auto"/>
              </w:rPr>
              <w:t>推动具备条件的公办养老机构配备应急防护物资、消防隔离设施，建立完善应急预案，培养培训专业养老服务应急队伍，定期分类开展应急演练，加强应急能力建设。鼓励有条件的民办养老机构提升应急救援能力。</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2"/>
              <w:textAlignment w:val="auto"/>
              <w:rPr>
                <w:rFonts w:ascii="仿宋" w:hAnsi="仿宋" w:eastAsia="仿宋" w:cs="仿宋"/>
                <w:color w:val="000000"/>
                <w:sz w:val="28"/>
                <w:szCs w:val="28"/>
                <w:u w:val="none" w:color="auto"/>
                <w:shd w:val="clear" w:color="auto" w:fill="auto"/>
              </w:rPr>
            </w:pPr>
            <w:r>
              <w:rPr>
                <w:rFonts w:hint="eastAsia" w:ascii="仿宋" w:hAnsi="仿宋" w:eastAsia="仿宋" w:cs="仿宋"/>
                <w:b/>
                <w:bCs/>
                <w:color w:val="000000"/>
                <w:sz w:val="28"/>
                <w:szCs w:val="28"/>
                <w:u w:val="none" w:color="auto"/>
                <w:shd w:val="clear" w:color="auto" w:fill="auto"/>
              </w:rPr>
              <w:t>6.护理人才培训工程</w:t>
            </w:r>
          </w:p>
          <w:p>
            <w:pPr>
              <w:pStyle w:val="17"/>
              <w:keepNext w:val="0"/>
              <w:keepLines w:val="0"/>
              <w:pageBreakBefore w:val="0"/>
              <w:widowControl w:val="0"/>
              <w:kinsoku/>
              <w:wordWrap/>
              <w:overflowPunct/>
              <w:topLinePunct w:val="0"/>
              <w:autoSpaceDE/>
              <w:autoSpaceDN/>
              <w:bidi w:val="0"/>
              <w:adjustRightInd/>
              <w:snapToGrid/>
              <w:spacing w:beforeAutospacing="0" w:line="400" w:lineRule="exact"/>
              <w:ind w:left="0" w:firstLine="56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28"/>
                <w:szCs w:val="28"/>
                <w:u w:val="none" w:color="auto"/>
                <w:shd w:val="clear" w:color="auto" w:fill="auto"/>
              </w:rPr>
              <w:t>开展养老护理员职业技能提升行动，到2025年末，全区力争培训养老护理员1.5万人次。</w:t>
            </w:r>
          </w:p>
        </w:tc>
      </w:tr>
    </w:tbl>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0"/>
        <w:rPr>
          <w:rFonts w:cs="仿宋"/>
          <w:color w:val="000000"/>
          <w:u w:val="none" w:color="auto"/>
          <w:shd w:val="clear" w:color="auto" w:fill="auto"/>
        </w:rPr>
      </w:pPr>
      <w:bookmarkStart w:id="71" w:name="_Toc26460"/>
      <w:r>
        <w:rPr>
          <w:rFonts w:hint="eastAsia" w:ascii="黑体" w:hAnsi="黑体" w:eastAsia="黑体" w:cs="黑体"/>
          <w:color w:val="000000"/>
          <w:sz w:val="32"/>
          <w:szCs w:val="32"/>
          <w:u w:val="none" w:color="auto"/>
          <w:shd w:val="clear" w:color="auto" w:fill="auto"/>
        </w:rPr>
        <w:t>第六章</w:t>
      </w:r>
      <w:r>
        <w:rPr>
          <w:rFonts w:hint="eastAsia" w:ascii="黑体" w:hAnsi="黑体" w:eastAsia="黑体" w:cs="黑体"/>
          <w:color w:val="000000"/>
          <w:sz w:val="32"/>
          <w:szCs w:val="32"/>
          <w:u w:val="none" w:color="auto"/>
          <w:shd w:val="clear" w:color="auto" w:fill="auto"/>
          <w:lang w:val="en-US" w:eastAsia="zh-CN"/>
        </w:rPr>
        <w:t xml:space="preserve">  </w:t>
      </w:r>
      <w:r>
        <w:rPr>
          <w:rFonts w:hint="eastAsia" w:ascii="黑体" w:hAnsi="黑体" w:eastAsia="黑体" w:cs="黑体"/>
          <w:color w:val="000000"/>
          <w:sz w:val="32"/>
          <w:szCs w:val="32"/>
          <w:u w:val="none" w:color="auto"/>
          <w:shd w:val="clear" w:color="auto" w:fill="auto"/>
        </w:rPr>
        <w:t>强化规划实施保障</w:t>
      </w:r>
      <w:bookmarkEnd w:id="61"/>
      <w:bookmarkEnd w:id="65"/>
      <w:bookmarkEnd w:id="71"/>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32"/>
          <w:szCs w:val="32"/>
          <w:u w:val="none" w:color="auto"/>
          <w:shd w:val="clear" w:color="auto" w:fill="auto"/>
        </w:rPr>
        <w:t>加强党对民政事业的全面领导，强</w:t>
      </w:r>
      <w:r>
        <w:rPr>
          <w:rFonts w:hint="eastAsia" w:ascii="仿宋" w:hAnsi="仿宋" w:eastAsia="仿宋" w:cs="仿宋"/>
          <w:color w:val="000000"/>
          <w:sz w:val="32"/>
          <w:szCs w:val="32"/>
          <w:u w:val="none" w:color="auto"/>
          <w:shd w:val="clear" w:color="auto" w:fill="auto"/>
          <w:lang w:eastAsia="zh-CN"/>
        </w:rPr>
        <w:t>化</w:t>
      </w:r>
      <w:r>
        <w:rPr>
          <w:rFonts w:hint="eastAsia" w:ascii="仿宋" w:hAnsi="仿宋" w:eastAsia="仿宋" w:cs="仿宋"/>
          <w:color w:val="000000"/>
          <w:sz w:val="32"/>
          <w:szCs w:val="32"/>
          <w:u w:val="none" w:color="auto"/>
          <w:shd w:val="clear" w:color="auto" w:fill="auto"/>
        </w:rPr>
        <w:t>基层基础建设，加强法制化、标准化、信息化、专业化、社会化建设，强化资金保障，统筹民政发展和安全，加强部门协作，强</w:t>
      </w:r>
      <w:r>
        <w:rPr>
          <w:rFonts w:hint="eastAsia" w:ascii="仿宋" w:hAnsi="仿宋" w:eastAsia="仿宋" w:cs="仿宋"/>
          <w:color w:val="000000"/>
          <w:sz w:val="32"/>
          <w:szCs w:val="32"/>
          <w:u w:val="none" w:color="auto"/>
          <w:shd w:val="clear" w:color="auto" w:fill="auto"/>
          <w:lang w:eastAsia="zh-CN"/>
        </w:rPr>
        <w:t>化</w:t>
      </w:r>
      <w:r>
        <w:rPr>
          <w:rFonts w:hint="eastAsia" w:ascii="仿宋" w:hAnsi="仿宋" w:eastAsia="仿宋" w:cs="仿宋"/>
          <w:color w:val="000000"/>
          <w:sz w:val="32"/>
          <w:szCs w:val="32"/>
          <w:u w:val="none" w:color="auto"/>
          <w:shd w:val="clear" w:color="auto" w:fill="auto"/>
        </w:rPr>
        <w:t>规划执行情况监测评估，确保规划顺利实施，目标任务如期完成。</w:t>
      </w:r>
    </w:p>
    <w:p>
      <w:pPr>
        <w:pStyle w:val="17"/>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firstLine="0" w:firstLineChars="0"/>
        <w:jc w:val="center"/>
        <w:textAlignment w:val="auto"/>
        <w:outlineLvl w:val="1"/>
        <w:rPr>
          <w:rFonts w:ascii="楷体" w:hAnsi="楷体" w:eastAsia="楷体" w:cs="楷体"/>
          <w:bCs/>
          <w:color w:val="000000"/>
          <w:sz w:val="32"/>
          <w:szCs w:val="32"/>
          <w:u w:val="none" w:color="auto"/>
          <w:shd w:val="clear" w:color="auto" w:fill="auto"/>
        </w:rPr>
      </w:pPr>
      <w:bookmarkStart w:id="72" w:name="_Toc31730"/>
      <w:r>
        <w:rPr>
          <w:rFonts w:hint="eastAsia" w:ascii="楷体" w:hAnsi="楷体" w:eastAsia="楷体" w:cs="楷体"/>
          <w:bCs/>
          <w:color w:val="000000"/>
          <w:sz w:val="32"/>
          <w:szCs w:val="32"/>
          <w:u w:val="none" w:color="auto"/>
          <w:shd w:val="clear" w:color="auto" w:fill="auto"/>
        </w:rPr>
        <w:t>第一节</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坚持党的全面领导</w:t>
      </w:r>
      <w:bookmarkEnd w:id="72"/>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发挥党的领导核心作用。</w:t>
      </w:r>
      <w:r>
        <w:rPr>
          <w:rFonts w:hint="eastAsia" w:ascii="仿宋" w:hAnsi="仿宋" w:eastAsia="仿宋" w:cs="仿宋"/>
          <w:color w:val="000000"/>
          <w:sz w:val="32"/>
          <w:szCs w:val="32"/>
          <w:u w:val="none" w:color="auto"/>
          <w:shd w:val="clear" w:color="auto" w:fill="auto"/>
        </w:rPr>
        <w:t>坚持党对民政工作的全面领导，完善上下贯通、执行有力的组织体系，</w:t>
      </w:r>
      <w:r>
        <w:rPr>
          <w:rFonts w:hint="eastAsia" w:ascii="仿宋" w:hAnsi="Calibri" w:eastAsia="仿宋" w:cs="仿宋"/>
          <w:color w:val="000000"/>
          <w:spacing w:val="0"/>
          <w:sz w:val="32"/>
          <w:szCs w:val="32"/>
          <w:u w:val="none" w:color="auto"/>
          <w:shd w:val="clear" w:color="auto" w:fill="auto"/>
          <w:lang w:eastAsia="zh-CN" w:bidi="ar-SA"/>
        </w:rPr>
        <w:t>全面贯彻</w:t>
      </w:r>
      <w:r>
        <w:rPr>
          <w:rFonts w:hint="eastAsia" w:ascii="仿宋" w:hAnsi="Calibri" w:eastAsia="仿宋" w:cs="仿宋"/>
          <w:color w:val="000000"/>
          <w:spacing w:val="0"/>
          <w:sz w:val="32"/>
          <w:szCs w:val="32"/>
          <w:u w:val="none" w:color="auto"/>
          <w:shd w:val="clear" w:color="auto" w:fill="auto"/>
          <w:lang w:bidi="ar-SA"/>
        </w:rPr>
        <w:t>习近平总书记</w:t>
      </w:r>
      <w:r>
        <w:rPr>
          <w:rFonts w:hint="eastAsia" w:ascii="仿宋" w:hAnsi="Calibri" w:eastAsia="仿宋" w:cs="仿宋"/>
          <w:color w:val="000000"/>
          <w:spacing w:val="0"/>
          <w:sz w:val="32"/>
          <w:szCs w:val="32"/>
          <w:u w:val="none" w:color="auto"/>
          <w:shd w:val="clear" w:color="auto" w:fill="auto"/>
          <w:lang w:eastAsia="zh-CN" w:bidi="ar-SA"/>
        </w:rPr>
        <w:t>对</w:t>
      </w:r>
      <w:r>
        <w:rPr>
          <w:rFonts w:hint="eastAsia" w:ascii="仿宋" w:hAnsi="Calibri" w:eastAsia="仿宋" w:cs="仿宋"/>
          <w:color w:val="000000"/>
          <w:spacing w:val="0"/>
          <w:sz w:val="32"/>
          <w:szCs w:val="32"/>
          <w:u w:val="none" w:color="auto"/>
          <w:shd w:val="clear" w:color="auto" w:fill="auto"/>
          <w:lang w:bidi="ar-SA"/>
        </w:rPr>
        <w:t>内蒙古重要讲话重要指示批示和对民政工作重要指示精神</w:t>
      </w:r>
      <w:r>
        <w:rPr>
          <w:rFonts w:hint="eastAsia" w:ascii="仿宋" w:hAnsi="仿宋" w:eastAsia="仿宋" w:cs="仿宋"/>
          <w:color w:val="000000"/>
          <w:sz w:val="32"/>
          <w:szCs w:val="32"/>
          <w:u w:val="none" w:color="auto"/>
          <w:shd w:val="clear" w:color="auto" w:fill="auto"/>
        </w:rPr>
        <w:t>，增强“四个意识”、坚定“四个自信”、做到“两个维护”，始终在思想上政治上行动上同以习近平同志为核心的党中央保持高度一致。全面贯彻新时代党的建设总要求，健全全面从严治党的制度举措，以党的政治建设为统领，把党的领导落实到民政工作各方面。立足民政部门实际，进一步压实各级民政部门党组（党委）管党治党的主体责任。树立大抓基层的鲜明导向，发挥基层党组织战斗堡垒作用和</w:t>
      </w:r>
      <w:r>
        <w:rPr>
          <w:rFonts w:hint="eastAsia" w:ascii="仿宋" w:hAnsi="仿宋" w:eastAsia="仿宋" w:cs="仿宋"/>
          <w:color w:val="000000"/>
          <w:sz w:val="32"/>
          <w:szCs w:val="32"/>
          <w:u w:val="none" w:color="auto"/>
          <w:shd w:val="clear" w:color="auto" w:fill="auto"/>
          <w:lang w:eastAsia="zh-CN"/>
        </w:rPr>
        <w:t>共产</w:t>
      </w:r>
      <w:r>
        <w:rPr>
          <w:rFonts w:hint="eastAsia" w:ascii="仿宋" w:hAnsi="仿宋" w:eastAsia="仿宋" w:cs="仿宋"/>
          <w:color w:val="000000"/>
          <w:sz w:val="32"/>
          <w:szCs w:val="32"/>
          <w:u w:val="none" w:color="auto"/>
          <w:shd w:val="clear" w:color="auto" w:fill="auto"/>
        </w:rPr>
        <w:t>党员先锋模范作用，把基层党组织建设得更加坚强有力。深化标本兼治，一体推进不敢腐、不能腐、不想腐的制度建设，紧盯民政重点领域和关键环节，持之以恒正风肃纪，锤炼民政干部忠诚干净担当的政治品格，涵养风清气正良好政治生态，为实现规划目标任务，推动民政事业高质量发展提供坚强政治保障。</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pacing w:val="-6"/>
          <w:sz w:val="32"/>
          <w:szCs w:val="32"/>
          <w:u w:val="none" w:color="auto"/>
          <w:shd w:val="clear" w:color="auto" w:fill="auto"/>
        </w:rPr>
      </w:pPr>
      <w:r>
        <w:rPr>
          <w:rFonts w:hint="eastAsia" w:ascii="仿宋" w:hAnsi="仿宋" w:eastAsia="仿宋" w:cs="仿宋"/>
          <w:b w:val="0"/>
          <w:bCs/>
          <w:color w:val="000000"/>
          <w:sz w:val="32"/>
          <w:szCs w:val="32"/>
          <w:u w:val="none" w:color="auto"/>
          <w:shd w:val="clear" w:color="auto" w:fill="auto"/>
        </w:rPr>
        <w:t>健全工作体制机制。</w:t>
      </w:r>
      <w:r>
        <w:rPr>
          <w:rFonts w:hint="eastAsia" w:ascii="仿宋" w:hAnsi="仿宋" w:eastAsia="仿宋" w:cs="仿宋"/>
          <w:color w:val="000000"/>
          <w:sz w:val="32"/>
          <w:szCs w:val="32"/>
          <w:u w:val="none" w:color="auto"/>
          <w:shd w:val="clear" w:color="auto" w:fill="auto"/>
        </w:rPr>
        <w:t>完善党委领导、政府负责、部门协同、</w:t>
      </w:r>
      <w:r>
        <w:rPr>
          <w:rFonts w:hint="eastAsia" w:ascii="仿宋" w:hAnsi="仿宋" w:eastAsia="仿宋" w:cs="仿宋"/>
          <w:color w:val="000000"/>
          <w:spacing w:val="-6"/>
          <w:sz w:val="32"/>
          <w:szCs w:val="32"/>
          <w:u w:val="none" w:color="auto"/>
          <w:shd w:val="clear" w:color="auto" w:fill="auto"/>
        </w:rPr>
        <w:t>社会参与的工作体制。健全工作协调机制，加强与相关部门沟通协调，推动部门之间政策衔接、工作对接、信息共享，形成工作合力。</w:t>
      </w:r>
    </w:p>
    <w:bookmarkEnd w:id="36"/>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73" w:name="_Toc2093"/>
      <w:r>
        <w:rPr>
          <w:rFonts w:hint="eastAsia" w:ascii="楷体" w:hAnsi="楷体" w:eastAsia="楷体" w:cs="楷体"/>
          <w:bCs/>
          <w:color w:val="000000"/>
          <w:sz w:val="32"/>
          <w:szCs w:val="32"/>
          <w:u w:val="none" w:color="auto"/>
          <w:shd w:val="clear" w:color="auto" w:fill="auto"/>
        </w:rPr>
        <w:t xml:space="preserve">第二节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加强民政法治化标准化建设</w:t>
      </w:r>
      <w:bookmarkEnd w:id="73"/>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snapToGrid w:val="0"/>
          <w:color w:val="000000"/>
          <w:spacing w:val="-6"/>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健全法治体系。</w:t>
      </w:r>
      <w:r>
        <w:rPr>
          <w:rFonts w:hint="eastAsia" w:ascii="仿宋" w:hAnsi="仿宋" w:eastAsia="仿宋" w:cs="仿宋"/>
          <w:color w:val="000000"/>
          <w:sz w:val="32"/>
          <w:szCs w:val="32"/>
          <w:u w:val="none" w:color="auto"/>
          <w:shd w:val="clear" w:color="auto" w:fill="auto"/>
        </w:rPr>
        <w:t>深入学习贯彻习近平法治思想，紧紧围绕推进民政工作高质量发展中心任务和</w:t>
      </w:r>
      <w:r>
        <w:rPr>
          <w:rFonts w:hint="eastAsia" w:ascii="仿宋" w:hAnsi="仿宋" w:eastAsia="仿宋" w:cs="仿宋"/>
          <w:color w:val="000000"/>
          <w:sz w:val="32"/>
          <w:szCs w:val="32"/>
          <w:u w:val="none" w:color="auto"/>
          <w:shd w:val="clear" w:color="auto" w:fill="auto"/>
          <w:lang w:eastAsia="zh-CN"/>
        </w:rPr>
        <w:t>自治区工作部署</w:t>
      </w:r>
      <w:r>
        <w:rPr>
          <w:rFonts w:hint="eastAsia" w:ascii="仿宋" w:hAnsi="仿宋" w:eastAsia="仿宋" w:cs="仿宋"/>
          <w:color w:val="000000"/>
          <w:sz w:val="32"/>
          <w:szCs w:val="32"/>
          <w:u w:val="none" w:color="auto"/>
          <w:shd w:val="clear" w:color="auto" w:fill="auto"/>
        </w:rPr>
        <w:t>，全面推进依法行政，持续深化法治政府建设，不断夯实民政事业发展的法治基础。深入实施《中华人民共和国民法典》《中华人民共和国慈善法》《中华人民共和国村民委员会组织法》《中华人民共和国城市居民委员会组织法》《中华人民共和国残疾人保障法》《中华人民共和国老年人权益保障法》《志愿服务条例》《行政区划管理条例》等法律法规。严格履行重大决策程序规定。积极推进《内蒙古自治区养老服务条例》《内蒙古自治区志愿服务条例》《内蒙古</w:t>
      </w:r>
      <w:r>
        <w:rPr>
          <w:rFonts w:hint="eastAsia" w:ascii="仿宋" w:hAnsi="仿宋" w:eastAsia="仿宋" w:cs="仿宋"/>
          <w:color w:val="000000"/>
          <w:spacing w:val="-6"/>
          <w:sz w:val="32"/>
          <w:szCs w:val="32"/>
          <w:u w:val="none" w:color="auto"/>
          <w:shd w:val="clear" w:color="auto" w:fill="auto"/>
        </w:rPr>
        <w:t>自治区未成年人保护条例》出台，指导有立法权地方的民政部门加强立法调研申报工作。加强民政行政执法能力建设，完善行政执法程序，全面推行“行政执法三项制度”，提高行政执法水平，强化行政执法监督，落实行政执法责任制。深入贯彻《法治社会</w:t>
      </w:r>
      <w:r>
        <w:rPr>
          <w:rFonts w:hint="eastAsia" w:ascii="仿宋" w:hAnsi="仿宋" w:eastAsia="仿宋" w:cs="仿宋"/>
          <w:snapToGrid w:val="0"/>
          <w:color w:val="000000"/>
          <w:spacing w:val="-6"/>
          <w:sz w:val="32"/>
          <w:szCs w:val="32"/>
          <w:u w:val="none" w:color="auto"/>
          <w:shd w:val="clear" w:color="auto" w:fill="auto"/>
        </w:rPr>
        <w:t>建设实施纲要（2020－2025年）》，健全行政执法人员管理制度，加强民政干部法治教育和普法宣传，深化法治意识，提高依法行政能力。</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建立完善标准体系。</w:t>
      </w:r>
      <w:r>
        <w:rPr>
          <w:rFonts w:hint="eastAsia" w:ascii="仿宋" w:hAnsi="仿宋" w:eastAsia="仿宋" w:cs="仿宋"/>
          <w:color w:val="000000"/>
          <w:sz w:val="32"/>
          <w:szCs w:val="32"/>
          <w:u w:val="none" w:color="auto"/>
          <w:shd w:val="clear" w:color="auto" w:fill="auto"/>
        </w:rPr>
        <w:t>坚持深化改革与创新驱动相结合、整体推进与重点突破相结合、制定修订与宣传实施相结合、标准化建设与法治化建设相结合，深度推进标准化与民政业务工作相融合，推动民政标准化加快发展。建立健全基层社区、养老助残、区划地名、儿童福利和保护、基本殡葬服务等业务领域的地方标准体系，覆盖全产业链，加强标准体系的宣贯和实施，开展标准化试点示范并全面推广，服务民政</w:t>
      </w:r>
      <w:r>
        <w:rPr>
          <w:rFonts w:hint="eastAsia" w:ascii="仿宋" w:hAnsi="仿宋" w:eastAsia="仿宋" w:cs="仿宋"/>
          <w:color w:val="000000"/>
          <w:sz w:val="32"/>
          <w:szCs w:val="32"/>
          <w:u w:val="none" w:color="auto"/>
          <w:shd w:val="clear" w:color="auto" w:fill="auto"/>
          <w:lang w:eastAsia="zh-CN"/>
        </w:rPr>
        <w:t>事业</w:t>
      </w:r>
      <w:r>
        <w:rPr>
          <w:rFonts w:hint="eastAsia" w:ascii="仿宋" w:hAnsi="仿宋" w:eastAsia="仿宋" w:cs="仿宋"/>
          <w:color w:val="000000"/>
          <w:sz w:val="32"/>
          <w:szCs w:val="32"/>
          <w:u w:val="none" w:color="auto"/>
          <w:shd w:val="clear" w:color="auto" w:fill="auto"/>
        </w:rPr>
        <w:t>高质量发展。</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楷体" w:hAnsi="楷体" w:eastAsia="楷体" w:cs="仿宋"/>
          <w:color w:val="000000"/>
          <w:sz w:val="32"/>
          <w:szCs w:val="32"/>
          <w:u w:val="none" w:color="auto"/>
          <w:shd w:val="clear" w:color="auto" w:fill="auto"/>
        </w:rPr>
      </w:pPr>
      <w:bookmarkStart w:id="74" w:name="_Toc25456"/>
      <w:r>
        <w:rPr>
          <w:rFonts w:hint="eastAsia" w:ascii="楷体" w:hAnsi="楷体" w:eastAsia="楷体" w:cs="仿宋"/>
          <w:color w:val="000000"/>
          <w:sz w:val="32"/>
          <w:szCs w:val="32"/>
          <w:u w:val="none" w:color="auto"/>
          <w:shd w:val="clear" w:color="auto" w:fill="auto"/>
        </w:rPr>
        <w:t>第三节</w:t>
      </w:r>
      <w:r>
        <w:rPr>
          <w:rFonts w:hint="eastAsia" w:ascii="楷体" w:hAnsi="楷体" w:eastAsia="楷体" w:cs="仿宋"/>
          <w:color w:val="000000"/>
          <w:sz w:val="32"/>
          <w:szCs w:val="32"/>
          <w:u w:val="none" w:color="auto"/>
          <w:shd w:val="clear" w:color="auto" w:fill="auto"/>
          <w:lang w:val="en-US" w:eastAsia="zh-CN"/>
        </w:rPr>
        <w:t xml:space="preserve"> </w:t>
      </w:r>
      <w:r>
        <w:rPr>
          <w:rFonts w:hint="eastAsia" w:ascii="楷体" w:hAnsi="楷体" w:eastAsia="楷体" w:cs="仿宋"/>
          <w:color w:val="000000"/>
          <w:sz w:val="32"/>
          <w:szCs w:val="32"/>
          <w:u w:val="none" w:color="auto"/>
          <w:shd w:val="clear" w:color="auto" w:fill="auto"/>
        </w:rPr>
        <w:t xml:space="preserve"> 增强数字民政效能</w:t>
      </w:r>
      <w:bookmarkEnd w:id="74"/>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推动提升政务服务效能。</w:t>
      </w:r>
      <w:r>
        <w:rPr>
          <w:rFonts w:hint="eastAsia" w:ascii="仿宋" w:hAnsi="仿宋" w:eastAsia="仿宋" w:cs="仿宋"/>
          <w:color w:val="000000"/>
          <w:sz w:val="32"/>
          <w:szCs w:val="32"/>
          <w:u w:val="none" w:color="auto"/>
          <w:shd w:val="clear" w:color="auto" w:fill="auto"/>
        </w:rPr>
        <w:t>加快推进电子政务建设，健全完善</w:t>
      </w:r>
      <w:r>
        <w:rPr>
          <w:rFonts w:hint="eastAsia" w:ascii="仿宋" w:hAnsi="仿宋" w:eastAsia="仿宋" w:cs="仿宋"/>
          <w:color w:val="000000"/>
          <w:spacing w:val="-6"/>
          <w:sz w:val="32"/>
          <w:szCs w:val="32"/>
          <w:u w:val="none" w:color="auto"/>
          <w:shd w:val="clear" w:color="auto" w:fill="auto"/>
        </w:rPr>
        <w:t>各类民政政务信息系统，推动“金民工程”建设。深化“互联网</w:t>
      </w:r>
      <w:r>
        <w:rPr>
          <w:rFonts w:hint="eastAsia" w:ascii="仿宋" w:hAnsi="仿宋" w:eastAsia="仿宋" w:cs="仿宋"/>
          <w:color w:val="000000"/>
          <w:spacing w:val="-6"/>
          <w:sz w:val="32"/>
          <w:szCs w:val="32"/>
          <w:u w:val="none" w:color="auto"/>
          <w:shd w:val="clear" w:color="auto" w:fill="auto"/>
          <w:lang w:val="en-US" w:eastAsia="zh-CN"/>
        </w:rPr>
        <w:t>+</w:t>
      </w:r>
      <w:r>
        <w:rPr>
          <w:rFonts w:hint="eastAsia" w:ascii="仿宋" w:hAnsi="仿宋" w:eastAsia="仿宋" w:cs="仿宋"/>
          <w:color w:val="000000"/>
          <w:sz w:val="32"/>
          <w:szCs w:val="32"/>
          <w:u w:val="none" w:color="auto"/>
          <w:shd w:val="clear" w:color="auto" w:fill="auto"/>
        </w:rPr>
        <w:t>民政服务”，提高民政政务服务平台供给能力，拓展空间位置服务和便民惠民地图服务</w:t>
      </w:r>
      <w:r>
        <w:rPr>
          <w:rFonts w:hint="eastAsia" w:ascii="仿宋" w:hAnsi="仿宋" w:eastAsia="仿宋" w:cs="仿宋"/>
          <w:color w:val="000000"/>
          <w:sz w:val="32"/>
          <w:szCs w:val="32"/>
          <w:u w:val="none" w:color="auto"/>
          <w:shd w:val="clear" w:color="auto" w:fill="auto"/>
          <w:lang w:eastAsia="zh-CN"/>
        </w:rPr>
        <w:t>，</w:t>
      </w:r>
      <w:r>
        <w:rPr>
          <w:rFonts w:hint="eastAsia" w:ascii="仿宋" w:hAnsi="仿宋" w:eastAsia="仿宋" w:cs="仿宋"/>
          <w:color w:val="000000"/>
          <w:sz w:val="32"/>
          <w:szCs w:val="32"/>
          <w:u w:val="none" w:color="auto"/>
          <w:shd w:val="clear" w:color="auto" w:fill="auto"/>
        </w:rPr>
        <w:t>推动更多民政政务服务事项“一网通办”“跨省通办”“就近可办”，推动民政政务服务</w:t>
      </w:r>
      <w:r>
        <w:rPr>
          <w:rFonts w:hint="eastAsia" w:ascii="仿宋" w:hAnsi="仿宋" w:eastAsia="仿宋" w:cs="仿宋"/>
          <w:color w:val="000000"/>
          <w:sz w:val="32"/>
          <w:szCs w:val="32"/>
          <w:u w:val="none" w:color="auto"/>
          <w:shd w:val="clear" w:color="auto" w:fill="auto"/>
          <w:lang w:eastAsia="zh-CN"/>
        </w:rPr>
        <w:t>从</w:t>
      </w:r>
      <w:r>
        <w:rPr>
          <w:rFonts w:hint="eastAsia" w:ascii="仿宋" w:hAnsi="仿宋" w:eastAsia="仿宋" w:cs="仿宋"/>
          <w:color w:val="000000"/>
          <w:sz w:val="32"/>
          <w:szCs w:val="32"/>
          <w:u w:val="none" w:color="auto"/>
          <w:shd w:val="clear" w:color="auto" w:fill="auto"/>
        </w:rPr>
        <w:t>政府供给导向向群众需求导向转变，从“线下跑”向“网上办”、“分头办”向“协同办”转变。保留对老年人等特殊群体的线下窗口和服务渠道。充分利用12345热线资源体系，进一步畅通同群众、企业的互动渠道，提升民政政务服务便捷度，增强群众获得感。</w:t>
      </w:r>
    </w:p>
    <w:p>
      <w:pPr>
        <w:keepNext w:val="0"/>
        <w:keepLines w:val="0"/>
        <w:pageBreakBefore w:val="0"/>
        <w:widowControl w:val="0"/>
        <w:kinsoku/>
        <w:wordWrap/>
        <w:overflowPunct/>
        <w:topLinePunct w:val="0"/>
        <w:autoSpaceDE/>
        <w:autoSpaceDN/>
        <w:bidi w:val="0"/>
        <w:snapToGrid/>
        <w:spacing w:beforeAutospacing="0" w:line="580" w:lineRule="exact"/>
        <w:ind w:left="0" w:firstLine="616" w:firstLineChars="200"/>
        <w:textAlignment w:val="auto"/>
        <w:rPr>
          <w:rFonts w:ascii="仿宋" w:hAnsi="仿宋" w:eastAsia="仿宋" w:cs="仿宋"/>
          <w:color w:val="000000"/>
          <w:spacing w:val="-6"/>
          <w:sz w:val="32"/>
          <w:szCs w:val="32"/>
          <w:u w:val="none" w:color="auto"/>
          <w:shd w:val="clear" w:color="auto" w:fill="auto"/>
        </w:rPr>
      </w:pPr>
      <w:r>
        <w:rPr>
          <w:rFonts w:hint="eastAsia" w:ascii="仿宋" w:hAnsi="仿宋" w:eastAsia="仿宋" w:cs="仿宋"/>
          <w:b w:val="0"/>
          <w:bCs w:val="0"/>
          <w:color w:val="000000"/>
          <w:spacing w:val="-6"/>
          <w:sz w:val="32"/>
          <w:szCs w:val="32"/>
          <w:u w:val="none" w:color="auto"/>
          <w:shd w:val="clear" w:color="auto" w:fill="auto"/>
        </w:rPr>
        <w:t>充分发挥数据要素作用。</w:t>
      </w:r>
      <w:r>
        <w:rPr>
          <w:rFonts w:hint="eastAsia" w:ascii="仿宋" w:hAnsi="仿宋" w:eastAsia="仿宋" w:cs="仿宋"/>
          <w:color w:val="000000"/>
          <w:spacing w:val="-6"/>
          <w:sz w:val="32"/>
          <w:szCs w:val="32"/>
          <w:u w:val="none" w:color="auto"/>
          <w:shd w:val="clear" w:color="auto" w:fill="auto"/>
        </w:rPr>
        <w:t>加强数据资源全要素、全口径、全生命周期管理，促进数据、政策、技术、服务等相互融通、上下一体，全面构建以行政区划代码、社会组织和村（居）委会统一社会信用代码等为基础，以自然人、法人为核心的民政大数据资源体系。</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75" w:name="_Toc30716"/>
      <w:r>
        <w:rPr>
          <w:rFonts w:hint="eastAsia" w:ascii="楷体" w:hAnsi="楷体" w:eastAsia="楷体" w:cs="楷体"/>
          <w:bCs/>
          <w:color w:val="000000"/>
          <w:sz w:val="32"/>
          <w:szCs w:val="32"/>
          <w:u w:val="none" w:color="auto"/>
          <w:shd w:val="clear" w:color="auto" w:fill="auto"/>
        </w:rPr>
        <w:t xml:space="preserve">第四节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优化民政资源配置</w:t>
      </w:r>
      <w:bookmarkEnd w:id="75"/>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加强民政资金保障。</w:t>
      </w:r>
      <w:r>
        <w:rPr>
          <w:rFonts w:hint="eastAsia" w:ascii="仿宋" w:hAnsi="仿宋" w:eastAsia="仿宋" w:cs="仿宋"/>
          <w:color w:val="000000"/>
          <w:sz w:val="32"/>
          <w:szCs w:val="32"/>
          <w:u w:val="none" w:color="auto"/>
          <w:shd w:val="clear" w:color="auto" w:fill="auto"/>
        </w:rPr>
        <w:t>加大对兜底性、基础性民政工作经费保障，与经济社会发展水平相适应，与宏观政策、社会政策相衔接。完善转移支付资金分配管理，相关资金重点向脱贫地区、乡村振兴重点帮扶旗县以及保障任务重、工作绩效好的地区倾斜，引导地方将转移支付资金更多投入到基本民生保障、基层社会治理、基本社会服务等民政重点领域，优化彩票公益金分配使用，提高资金使用效益。扩展民政事业资金来源渠道，探索在国债、地方债发行中，积极争取把民政服务保障作为重要参考因素；总结开发性金融投入养老服务等有益经验，向具有相似条件的领域推广；综合运用税费减免、资金引导、培育孵化、人才支持、精神奖励、共建共治等多种手段，广泛吸引各类社会资金投入。</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完善彩票公益金使用管理全链条制度体系。</w:t>
      </w:r>
      <w:r>
        <w:rPr>
          <w:rFonts w:hint="eastAsia" w:ascii="仿宋" w:hAnsi="仿宋" w:eastAsia="仿宋" w:cs="仿宋"/>
          <w:color w:val="000000"/>
          <w:sz w:val="32"/>
          <w:szCs w:val="32"/>
          <w:u w:val="none" w:color="auto"/>
          <w:shd w:val="clear" w:color="auto" w:fill="auto"/>
        </w:rPr>
        <w:t>突出科学性、精准性、时效性，优化资金分配，加大彩票公益金对乡村振兴重点帮扶</w:t>
      </w:r>
      <w:r>
        <w:rPr>
          <w:rFonts w:hint="eastAsia" w:ascii="仿宋" w:hAnsi="仿宋" w:eastAsia="仿宋" w:cs="仿宋"/>
          <w:color w:val="000000"/>
          <w:sz w:val="32"/>
          <w:szCs w:val="32"/>
          <w:u w:val="none" w:color="auto"/>
          <w:shd w:val="clear" w:color="auto" w:fill="auto"/>
          <w:lang w:eastAsia="zh-CN"/>
        </w:rPr>
        <w:t>旗</w:t>
      </w:r>
      <w:r>
        <w:rPr>
          <w:rFonts w:hint="eastAsia" w:ascii="仿宋" w:hAnsi="仿宋" w:eastAsia="仿宋" w:cs="仿宋"/>
          <w:color w:val="000000"/>
          <w:sz w:val="32"/>
          <w:szCs w:val="32"/>
          <w:u w:val="none" w:color="auto"/>
          <w:shd w:val="clear" w:color="auto" w:fill="auto"/>
        </w:rPr>
        <w:t>县的倾斜支持。加强对彩票公益金资助项目的分类指导，切实践行福利彩票“扶老、助残、救孤、济困”的发行宗旨。实施彩票公益金项目绩效管理，强化审计监督和信息公开，确保资金使用管理规范高效。加大公益宣传力度，创新宣传手段，打造一批公益品牌，展现福利彩票为民、责任、阳光形象，促进彩票公益金使用和发行销售良性循环。</w:t>
      </w:r>
      <w:bookmarkStart w:id="76" w:name="_Toc71380458"/>
      <w:bookmarkStart w:id="77" w:name="_Toc57200376"/>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hint="eastAsia" w:ascii="仿宋" w:hAnsi="仿宋" w:eastAsia="仿宋" w:cs="仿宋"/>
          <w:color w:val="000000"/>
          <w:spacing w:val="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加强</w:t>
      </w:r>
      <w:bookmarkEnd w:id="76"/>
      <w:bookmarkEnd w:id="77"/>
      <w:r>
        <w:rPr>
          <w:rFonts w:hint="eastAsia" w:ascii="仿宋" w:hAnsi="仿宋" w:eastAsia="仿宋" w:cs="仿宋"/>
          <w:b w:val="0"/>
          <w:bCs w:val="0"/>
          <w:color w:val="000000"/>
          <w:sz w:val="32"/>
          <w:szCs w:val="32"/>
          <w:u w:val="none" w:color="auto"/>
          <w:shd w:val="clear" w:color="auto" w:fill="auto"/>
        </w:rPr>
        <w:t>合作交流。</w:t>
      </w:r>
      <w:r>
        <w:rPr>
          <w:rFonts w:hint="eastAsia" w:ascii="仿宋" w:hAnsi="仿宋" w:eastAsia="仿宋" w:cs="仿宋"/>
          <w:color w:val="000000"/>
          <w:kern w:val="0"/>
          <w:sz w:val="32"/>
          <w:szCs w:val="32"/>
          <w:u w:val="none" w:color="auto"/>
          <w:shd w:val="clear" w:color="auto" w:fill="auto"/>
        </w:rPr>
        <w:t>贯彻落实西部大开发、东北振兴、京津冀一体化等区域发展战略，将我区民政事业发展融入区域发展大局；推动民政事业在呼包鄂乌一体化等</w:t>
      </w:r>
      <w:r>
        <w:rPr>
          <w:rFonts w:hint="eastAsia" w:ascii="仿宋" w:hAnsi="仿宋" w:eastAsia="仿宋" w:cs="仿宋"/>
          <w:color w:val="000000"/>
          <w:kern w:val="0"/>
          <w:sz w:val="32"/>
          <w:szCs w:val="32"/>
          <w:u w:val="none" w:color="auto"/>
          <w:shd w:val="clear" w:color="auto" w:fill="auto"/>
          <w:lang w:eastAsia="zh-CN"/>
        </w:rPr>
        <w:t>工作部署</w:t>
      </w:r>
      <w:r>
        <w:rPr>
          <w:rFonts w:hint="eastAsia" w:ascii="仿宋" w:hAnsi="仿宋" w:eastAsia="仿宋" w:cs="仿宋"/>
          <w:color w:val="000000"/>
          <w:kern w:val="0"/>
          <w:sz w:val="32"/>
          <w:szCs w:val="32"/>
          <w:u w:val="none" w:color="auto"/>
          <w:shd w:val="clear" w:color="auto" w:fill="auto"/>
        </w:rPr>
        <w:t>中发挥积极作用。大力推进京蒙等对口帮扶工作，加大对革命老区、少数民族聚居区、边境地区、贫困地区及资源枯竭型城市等特殊类型地区的扶持力度。深入推进沪蒙战略合作，加大两地养老、儿童等民政领域全方位深层次合作发展。</w:t>
      </w:r>
    </w:p>
    <w:p>
      <w:pPr>
        <w:keepNext w:val="0"/>
        <w:keepLines w:val="0"/>
        <w:pageBreakBefore w:val="0"/>
        <w:widowControl w:val="0"/>
        <w:kinsoku/>
        <w:wordWrap/>
        <w:overflowPunct/>
        <w:topLinePunct w:val="0"/>
        <w:autoSpaceDE/>
        <w:autoSpaceDN/>
        <w:bidi w:val="0"/>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b w:val="0"/>
          <w:bCs w:val="0"/>
          <w:color w:val="000000"/>
          <w:sz w:val="32"/>
          <w:szCs w:val="32"/>
          <w:u w:val="none" w:color="auto"/>
          <w:shd w:val="clear" w:color="auto" w:fill="auto"/>
        </w:rPr>
        <w:t>增强基层服务能力。</w:t>
      </w:r>
      <w:r>
        <w:rPr>
          <w:rFonts w:hint="eastAsia" w:ascii="仿宋" w:hAnsi="仿宋" w:eastAsia="仿宋" w:cs="仿宋"/>
          <w:color w:val="000000"/>
          <w:sz w:val="32"/>
          <w:szCs w:val="32"/>
          <w:u w:val="none" w:color="auto"/>
          <w:shd w:val="clear" w:color="auto" w:fill="auto"/>
        </w:rPr>
        <w:t>建立健全以</w:t>
      </w:r>
      <w:r>
        <w:rPr>
          <w:rFonts w:hint="eastAsia" w:ascii="仿宋" w:hAnsi="仿宋" w:eastAsia="仿宋" w:cs="仿宋"/>
          <w:color w:val="000000"/>
          <w:sz w:val="32"/>
          <w:szCs w:val="32"/>
          <w:u w:val="none" w:color="auto"/>
          <w:shd w:val="clear" w:color="auto" w:fill="auto"/>
          <w:lang w:eastAsia="zh-CN"/>
        </w:rPr>
        <w:t>苏木</w:t>
      </w:r>
      <w:r>
        <w:rPr>
          <w:rFonts w:hint="eastAsia" w:ascii="仿宋" w:hAnsi="仿宋" w:eastAsia="仿宋" w:cs="仿宋"/>
          <w:color w:val="000000"/>
          <w:sz w:val="32"/>
          <w:szCs w:val="32"/>
          <w:u w:val="none" w:color="auto"/>
          <w:shd w:val="clear" w:color="auto" w:fill="auto"/>
        </w:rPr>
        <w:t>乡镇民政助理员、嘎查村民政协理员为主体，以</w:t>
      </w:r>
      <w:r>
        <w:rPr>
          <w:rFonts w:hint="eastAsia" w:ascii="仿宋" w:hAnsi="仿宋" w:eastAsia="仿宋" w:cs="仿宋"/>
          <w:color w:val="000000"/>
          <w:sz w:val="32"/>
          <w:szCs w:val="32"/>
          <w:u w:val="none" w:color="auto"/>
          <w:shd w:val="clear" w:color="auto" w:fill="auto"/>
          <w:lang w:eastAsia="zh-CN"/>
        </w:rPr>
        <w:t>苏木</w:t>
      </w:r>
      <w:r>
        <w:rPr>
          <w:rFonts w:hint="eastAsia" w:ascii="仿宋" w:hAnsi="仿宋" w:eastAsia="仿宋" w:cs="仿宋"/>
          <w:color w:val="000000"/>
          <w:sz w:val="32"/>
          <w:szCs w:val="32"/>
          <w:u w:val="none" w:color="auto"/>
          <w:shd w:val="clear" w:color="auto" w:fill="auto"/>
        </w:rPr>
        <w:t>乡镇、嘎查村级社会工作站点为依托，以社会工作者、志愿服务队伍为补充的基层民政工作格局，配齐配强基层民政工作力量，使基层民政机构更加健全，人员更加齐备，体制更加顺畅，实现有机构理事、有人干事、有钱做事、有场所办事、有手段成事。建立基层民政工作考核激励机制，建立分级教育培训体系，形成职能科学、运转有序、保障有力、服务高效、群众满意的基层民政运行机制。</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78" w:name="_Toc5323"/>
      <w:r>
        <w:rPr>
          <w:rFonts w:hint="eastAsia" w:ascii="楷体" w:hAnsi="楷体" w:eastAsia="楷体" w:cs="楷体"/>
          <w:bCs/>
          <w:color w:val="000000"/>
          <w:sz w:val="32"/>
          <w:szCs w:val="32"/>
          <w:u w:val="none" w:color="auto"/>
          <w:shd w:val="clear" w:color="auto" w:fill="auto"/>
        </w:rPr>
        <w:t>第五节</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 xml:space="preserve"> 统筹发展和安全</w:t>
      </w:r>
      <w:bookmarkEnd w:id="78"/>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ascii="仿宋" w:hAnsi="仿宋" w:eastAsia="仿宋" w:cs="仿宋"/>
          <w:color w:val="000000"/>
          <w:sz w:val="32"/>
          <w:szCs w:val="32"/>
          <w:u w:val="none" w:color="auto"/>
          <w:shd w:val="clear" w:color="auto" w:fill="auto"/>
        </w:rPr>
      </w:pPr>
      <w:r>
        <w:rPr>
          <w:rFonts w:hint="eastAsia" w:ascii="仿宋" w:hAnsi="仿宋" w:eastAsia="仿宋" w:cs="仿宋"/>
          <w:color w:val="000000"/>
          <w:sz w:val="32"/>
          <w:szCs w:val="32"/>
          <w:u w:val="none" w:color="auto"/>
          <w:shd w:val="clear" w:color="auto" w:fill="auto"/>
        </w:rPr>
        <w:t>以平安中国、平安内蒙古建设为牵引，全面贯彻落实《全国安全生产专项整治三年行动计划》和《内蒙古自治区安全生产专项整治三年行动实施方案》精神，坚持“管行业必须管安全、管业务必须管安全、管生产必须管安全”，盯紧看牢关键环节、重大风险，统筹抓好民政服务机构和民政服务对象的机构安全、人身安全、消防安全、食品安全等各项管理工作。建立健全重大突发性事件应急处置安全预案</w:t>
      </w:r>
      <w:r>
        <w:rPr>
          <w:rFonts w:hint="eastAsia" w:ascii="仿宋" w:hAnsi="仿宋" w:eastAsia="仿宋" w:cs="仿宋"/>
          <w:color w:val="000000"/>
          <w:sz w:val="32"/>
          <w:szCs w:val="32"/>
          <w:u w:val="none" w:color="auto"/>
          <w:shd w:val="clear" w:color="auto" w:fill="auto"/>
          <w:lang w:eastAsia="zh-CN"/>
        </w:rPr>
        <w:t>和</w:t>
      </w:r>
      <w:r>
        <w:rPr>
          <w:rFonts w:hint="eastAsia" w:ascii="仿宋" w:hAnsi="仿宋" w:eastAsia="仿宋" w:cs="仿宋"/>
          <w:color w:val="000000"/>
          <w:sz w:val="32"/>
          <w:szCs w:val="32"/>
          <w:u w:val="none" w:color="auto"/>
          <w:shd w:val="clear" w:color="auto" w:fill="auto"/>
        </w:rPr>
        <w:t>民政服务机构疫情防控长效机制，严格执行各领域安全风险防范制度规定，组织开展安全隐患排查防控，确保机构运行安全，切实提高安全管理水平。</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80" w:lineRule="exact"/>
        <w:ind w:left="0"/>
        <w:jc w:val="center"/>
        <w:textAlignment w:val="auto"/>
        <w:outlineLvl w:val="1"/>
        <w:rPr>
          <w:rFonts w:ascii="仿宋" w:hAnsi="仿宋" w:eastAsia="仿宋" w:cs="仿宋"/>
          <w:bCs/>
          <w:color w:val="000000"/>
          <w:sz w:val="32"/>
          <w:szCs w:val="32"/>
          <w:u w:val="none" w:color="auto"/>
          <w:shd w:val="clear" w:color="auto" w:fill="auto"/>
        </w:rPr>
      </w:pPr>
      <w:bookmarkStart w:id="79" w:name="_Toc1720"/>
      <w:r>
        <w:rPr>
          <w:rFonts w:hint="eastAsia" w:ascii="楷体" w:hAnsi="楷体" w:eastAsia="楷体" w:cs="楷体"/>
          <w:bCs/>
          <w:color w:val="000000"/>
          <w:sz w:val="32"/>
          <w:szCs w:val="32"/>
          <w:u w:val="none" w:color="auto"/>
          <w:shd w:val="clear" w:color="auto" w:fill="auto"/>
        </w:rPr>
        <w:t xml:space="preserve">第六节 </w:t>
      </w:r>
      <w:r>
        <w:rPr>
          <w:rFonts w:hint="eastAsia" w:ascii="楷体" w:hAnsi="楷体" w:eastAsia="楷体" w:cs="楷体"/>
          <w:bCs/>
          <w:color w:val="000000"/>
          <w:sz w:val="32"/>
          <w:szCs w:val="32"/>
          <w:u w:val="none" w:color="auto"/>
          <w:shd w:val="clear" w:color="auto" w:fill="auto"/>
          <w:lang w:val="en-US" w:eastAsia="zh-CN"/>
        </w:rPr>
        <w:t xml:space="preserve"> </w:t>
      </w:r>
      <w:r>
        <w:rPr>
          <w:rFonts w:hint="eastAsia" w:ascii="楷体" w:hAnsi="楷体" w:eastAsia="楷体" w:cs="楷体"/>
          <w:bCs/>
          <w:color w:val="000000"/>
          <w:sz w:val="32"/>
          <w:szCs w:val="32"/>
          <w:u w:val="none" w:color="auto"/>
          <w:shd w:val="clear" w:color="auto" w:fill="auto"/>
        </w:rPr>
        <w:t>加强规划执行情况监测评估</w:t>
      </w:r>
      <w:bookmarkEnd w:id="79"/>
    </w:p>
    <w:p>
      <w:pPr>
        <w:keepNext w:val="0"/>
        <w:keepLines w:val="0"/>
        <w:pageBreakBefore w:val="0"/>
        <w:widowControl w:val="0"/>
        <w:kinsoku/>
        <w:wordWrap/>
        <w:overflowPunct/>
        <w:topLinePunct w:val="0"/>
        <w:autoSpaceDE/>
        <w:autoSpaceDN/>
        <w:bidi w:val="0"/>
        <w:adjustRightInd/>
        <w:snapToGrid/>
        <w:spacing w:beforeAutospacing="0" w:line="580" w:lineRule="exact"/>
        <w:ind w:left="0" w:firstLine="640" w:firstLineChars="200"/>
        <w:textAlignment w:val="auto"/>
        <w:rPr>
          <w:rFonts w:hint="eastAsia"/>
          <w:u w:val="none" w:color="auto"/>
          <w:shd w:val="clear" w:color="auto" w:fill="auto"/>
          <w:lang w:eastAsia="zh-CN"/>
        </w:rPr>
      </w:pPr>
      <w:r>
        <w:rPr>
          <w:rFonts w:hint="eastAsia" w:ascii="仿宋" w:hAnsi="仿宋" w:eastAsia="仿宋" w:cs="仿宋"/>
          <w:color w:val="000000"/>
          <w:sz w:val="32"/>
          <w:szCs w:val="32"/>
          <w:u w:val="none" w:color="auto"/>
          <w:shd w:val="clear" w:color="auto" w:fill="auto"/>
        </w:rPr>
        <w:t>每年年底前，对规划推进实施情况进行全面总结。2023年和2025年，分别对本规划的执行情况进行中期评估和终期评估，将评估结果作为改进民政工作和绩效考核的重要依据。创新评估方式方法，引入第三方评估机构，探索开展大数据评估。</w:t>
      </w:r>
      <w:r>
        <w:rPr>
          <w:rFonts w:hint="eastAsia" w:ascii="仿宋" w:hAnsi="仿宋" w:eastAsia="仿宋" w:cs="仿宋"/>
          <w:color w:val="000000"/>
          <w:sz w:val="32"/>
          <w:szCs w:val="32"/>
          <w:u w:val="none" w:color="auto"/>
          <w:shd w:val="clear" w:color="auto" w:fill="auto"/>
          <w:lang w:eastAsia="zh-CN"/>
        </w:rPr>
        <w:t>各</w:t>
      </w:r>
      <w:r>
        <w:rPr>
          <w:rFonts w:hint="eastAsia" w:ascii="仿宋" w:hAnsi="仿宋" w:eastAsia="仿宋" w:cs="仿宋"/>
          <w:color w:val="000000"/>
          <w:sz w:val="32"/>
          <w:szCs w:val="32"/>
          <w:u w:val="none" w:color="auto"/>
          <w:shd w:val="clear" w:color="auto" w:fill="auto"/>
        </w:rPr>
        <w:t>盟</w:t>
      </w:r>
      <w:r>
        <w:rPr>
          <w:rFonts w:hint="eastAsia" w:ascii="仿宋" w:hAnsi="仿宋" w:eastAsia="仿宋" w:cs="仿宋"/>
          <w:color w:val="000000"/>
          <w:sz w:val="32"/>
          <w:szCs w:val="32"/>
          <w:u w:val="none" w:color="auto"/>
          <w:shd w:val="clear" w:color="auto" w:fill="auto"/>
          <w:lang w:eastAsia="zh-CN"/>
        </w:rPr>
        <w:t>行政公署、市人民</w:t>
      </w:r>
      <w:r>
        <w:rPr>
          <w:rFonts w:hint="eastAsia" w:ascii="仿宋" w:hAnsi="仿宋" w:eastAsia="仿宋" w:cs="仿宋"/>
          <w:color w:val="000000"/>
          <w:sz w:val="32"/>
          <w:szCs w:val="32"/>
          <w:u w:val="none" w:color="auto"/>
          <w:shd w:val="clear" w:color="auto" w:fill="auto"/>
        </w:rPr>
        <w:t>政府</w:t>
      </w:r>
      <w:r>
        <w:rPr>
          <w:rFonts w:hint="eastAsia" w:ascii="仿宋" w:hAnsi="仿宋" w:eastAsia="仿宋" w:cs="仿宋"/>
          <w:color w:val="000000"/>
          <w:sz w:val="32"/>
          <w:szCs w:val="32"/>
          <w:u w:val="none" w:color="auto"/>
          <w:shd w:val="clear" w:color="auto" w:fill="auto"/>
          <w:lang w:eastAsia="zh-CN"/>
        </w:rPr>
        <w:t>及其</w:t>
      </w:r>
      <w:r>
        <w:rPr>
          <w:rFonts w:hint="eastAsia" w:ascii="仿宋" w:hAnsi="仿宋" w:eastAsia="仿宋" w:cs="仿宋"/>
          <w:color w:val="000000"/>
          <w:sz w:val="32"/>
          <w:szCs w:val="32"/>
          <w:u w:val="none" w:color="auto"/>
          <w:shd w:val="clear" w:color="auto" w:fill="auto"/>
        </w:rPr>
        <w:t>民政部门要强化主体责任，以本规划为指导，因地制宜制定本地区民政事业发展规划或行动计划，对本规划和本地区民政规划计划的落实情况开展监测评估，对实施过程中出现的问题要及时上报。畅通群众诉求和意见表达渠道，发挥群众监督、媒体监督的积极作用。确需对本规划的重大目标任务</w:t>
      </w:r>
      <w:r>
        <w:rPr>
          <w:rFonts w:hint="eastAsia" w:ascii="仿宋" w:hAnsi="仿宋" w:eastAsia="仿宋" w:cs="仿宋"/>
          <w:color w:val="000000"/>
          <w:spacing w:val="-6"/>
          <w:sz w:val="32"/>
          <w:szCs w:val="32"/>
          <w:u w:val="none" w:color="auto"/>
          <w:shd w:val="clear" w:color="auto" w:fill="auto"/>
        </w:rPr>
        <w:t>进行调整时，由自治区民政厅商自治区发展改革委制定调整方案。</w:t>
      </w:r>
    </w:p>
    <w:p>
      <w:pPr>
        <w:keepNext w:val="0"/>
        <w:keepLines w:val="0"/>
        <w:pageBreakBefore w:val="0"/>
        <w:kinsoku/>
        <w:wordWrap/>
        <w:overflowPunct/>
        <w:topLinePunct w:val="0"/>
        <w:autoSpaceDE/>
        <w:autoSpaceDN/>
        <w:bidi w:val="0"/>
        <w:spacing w:beforeAutospacing="0" w:line="580" w:lineRule="exact"/>
        <w:ind w:left="0"/>
        <w:textAlignment w:val="auto"/>
        <w:rPr>
          <w:rFonts w:hint="eastAsia" w:eastAsia="仿宋_GB2312"/>
          <w:sz w:val="32"/>
        </w:rPr>
      </w:pPr>
    </w:p>
    <w:p>
      <w:pPr>
        <w:spacing w:line="600" w:lineRule="exact"/>
        <w:jc w:val="center"/>
        <w:rPr>
          <w:rFonts w:ascii="仿宋" w:eastAsia="仿宋" w:cs="仿宋"/>
          <w:w w:val="90"/>
          <w:sz w:val="32"/>
          <w:szCs w:val="32"/>
          <w:lang w:eastAsia="zh-CN"/>
        </w:rPr>
      </w:pPr>
    </w:p>
    <w:p>
      <w:pPr>
        <w:pStyle w:val="2"/>
      </w:pPr>
    </w:p>
    <w:p>
      <w:pPr>
        <w:ind w:firstLine="600"/>
        <w:rPr>
          <w:rFonts w:hint="eastAsia" w:eastAsia="仿宋_GB2312"/>
          <w:sz w:val="32"/>
        </w:rPr>
      </w:pPr>
      <w:r>
        <w:rPr>
          <w:rFonts w:hint="eastAsia" w:eastAsia="仿宋_GB2312"/>
          <w:sz w:val="32"/>
        </w:rPr>
        <w:t xml:space="preserve"> </w:t>
      </w:r>
    </w:p>
    <w:p>
      <w:pPr>
        <w:pStyle w:val="2"/>
        <w:ind w:firstLine="0" w:firstLineChars="0"/>
        <w:rPr>
          <w:rFonts w:hint="eastAsia" w:ascii="仿宋_GB2312" w:eastAsia="仿宋_GB2312"/>
          <w:sz w:val="32"/>
        </w:rPr>
      </w:pPr>
    </w:p>
    <w:p>
      <w:pPr>
        <w:rPr>
          <w:rFonts w:hint="eastAsia"/>
        </w:rPr>
      </w:pPr>
    </w:p>
    <w:p>
      <w:pPr>
        <w:pStyle w:val="2"/>
        <w:ind w:firstLine="0" w:firstLineChars="0"/>
        <w:rPr>
          <w:rFonts w:hint="eastAsia"/>
        </w:rPr>
      </w:pPr>
    </w:p>
    <w:p>
      <w:pPr>
        <w:pStyle w:val="2"/>
        <w:ind w:firstLine="0" w:firstLineChars="0"/>
        <w:rPr>
          <w:rFonts w:hint="eastAsia"/>
        </w:r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4"/>
        <w:tblW w:w="917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4" w:type="dxa"/>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4" w:type="dxa"/>
            <w:vAlign w:val="top"/>
          </w:tcPr>
          <w:p>
            <w:pPr>
              <w:ind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10</w:t>
            </w:r>
            <w:r>
              <w:rPr>
                <w:rFonts w:hint="eastAsia" w:ascii="仿宋_GB2312" w:eastAsia="仿宋_GB2312"/>
                <w:sz w:val="28"/>
              </w:rPr>
              <w:t>月</w:t>
            </w:r>
            <w:r>
              <w:rPr>
                <w:rFonts w:hint="eastAsia" w:ascii="仿宋_GB2312" w:eastAsia="仿宋_GB2312"/>
                <w:sz w:val="28"/>
                <w:lang w:val="en-US" w:eastAsia="zh-CN"/>
              </w:rPr>
              <w:t>14</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rPr>
      </w:pPr>
    </w:p>
    <w:sectPr>
      <w:headerReference r:id="rId5" w:type="default"/>
      <w:footerReference r:id="rId7" w:type="default"/>
      <w:headerReference r:id="rId6" w:type="even"/>
      <w:footerReference r:id="rId8"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Luxi Sans">
    <w:altName w:val="Arial Unicode MS"/>
    <w:panose1 w:val="00000000000000000000"/>
    <w:charset w:val="00"/>
    <w:family w:val="auto"/>
    <w:pitch w:val="default"/>
    <w:sig w:usb0="00000000" w:usb1="00000000" w:usb2="00000000"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rPr>
                            <w:t>- 1 -</w:t>
                          </w:r>
                          <w:r>
                            <w:rPr>
                              <w:rFonts w:hint="eastAsia"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3V8huxgEAAGsDAAAOAAAAAAAAAAEAIAAAAB4BAABkcnMvZTJvRG9jLnht&#10;bFBLBQYAAAAABgAGAFkBAABWBQAAAAA=&#10;">
              <v:fill on="f" focussize="0,0"/>
              <v:stroke on="f"/>
              <v:imagedata o:title=""/>
              <o:lock v:ext="edit" aspectratio="f"/>
              <v:textbox inset="0mm,0mm,0mm,0mm" style="mso-fit-shape-to-text:t;">
                <w:txbxContent>
                  <w:p>
                    <w:pPr>
                      <w:pStyle w:val="9"/>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URU2IxgEAAGsDAAAOAAAAAAAAAAEAIAAAAB4BAABkcnMvZTJvRG9jLnht&#10;bFBLBQYAAAAABgAGAFkBAABWBQAAAAA=&#10;">
              <v:fill on="f" focussize="0,0"/>
              <v:stroke on="f"/>
              <v:imagedata o:title=""/>
              <o:lock v:ext="edit" aspectratio="f"/>
              <v:textbox inset="0mm,0mm,0mm,0mm" style="mso-fit-shape-to-text:t;">
                <w:txbxContent>
                  <w:p>
                    <w:pPr>
                      <w:pStyle w:val="9"/>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B29510"/>
    <w:multiLevelType w:val="singleLevel"/>
    <w:tmpl w:val="ADB29510"/>
    <w:lvl w:ilvl="0" w:tentative="0">
      <w:start w:val="1"/>
      <w:numFmt w:val="chineseCounting"/>
      <w:suff w:val="space"/>
      <w:lvlText w:val="第%1节"/>
      <w:lvlJc w:val="left"/>
      <w:rPr>
        <w:rFonts w:hint="eastAsia"/>
      </w:rPr>
    </w:lvl>
  </w:abstractNum>
  <w:abstractNum w:abstractNumId="1">
    <w:nsid w:val="FF3BB5DA"/>
    <w:multiLevelType w:val="singleLevel"/>
    <w:tmpl w:val="FF3BB5DA"/>
    <w:lvl w:ilvl="0" w:tentative="0">
      <w:start w:val="2"/>
      <w:numFmt w:val="chineseCounting"/>
      <w:suff w:val="space"/>
      <w:lvlText w:val="第%1章"/>
      <w:lvlJc w:val="left"/>
      <w:rPr>
        <w:rFonts w:hint="eastAsia"/>
      </w:rPr>
    </w:lvl>
  </w:abstractNum>
  <w:abstractNum w:abstractNumId="2">
    <w:nsid w:val="0DB5351D"/>
    <w:multiLevelType w:val="singleLevel"/>
    <w:tmpl w:val="0DB5351D"/>
    <w:lvl w:ilvl="0" w:tentative="0">
      <w:start w:val="1"/>
      <w:numFmt w:val="chineseCounting"/>
      <w:suff w:val="space"/>
      <w:lvlText w:val="第%1章"/>
      <w:lvlJc w:val="left"/>
      <w:rPr>
        <w:rFonts w:hint="eastAsia"/>
      </w:rPr>
    </w:lvl>
  </w:abstractNum>
  <w:abstractNum w:abstractNumId="3">
    <w:nsid w:val="1DAF25E2"/>
    <w:multiLevelType w:val="singleLevel"/>
    <w:tmpl w:val="1DAF25E2"/>
    <w:lvl w:ilvl="0" w:tentative="0">
      <w:start w:val="2"/>
      <w:numFmt w:val="chineseCounting"/>
      <w:suff w:val="space"/>
      <w:lvlText w:val="第%1节"/>
      <w:lvlJc w:val="left"/>
      <w:rPr>
        <w:rFonts w:hint="eastAsia"/>
      </w:rPr>
    </w:lvl>
  </w:abstractNum>
  <w:abstractNum w:abstractNumId="4">
    <w:nsid w:val="44FA7B17"/>
    <w:multiLevelType w:val="singleLevel"/>
    <w:tmpl w:val="44FA7B17"/>
    <w:lvl w:ilvl="0" w:tentative="0">
      <w:start w:val="1"/>
      <w:numFmt w:val="chineseCounting"/>
      <w:suff w:val="space"/>
      <w:lvlText w:val="第%1节"/>
      <w:lvlJc w:val="left"/>
      <w:rPr>
        <w:rFonts w:hint="eastAsia"/>
      </w:rPr>
    </w:lvl>
  </w:abstractNum>
  <w:abstractNum w:abstractNumId="5">
    <w:nsid w:val="7FA51B75"/>
    <w:multiLevelType w:val="singleLevel"/>
    <w:tmpl w:val="7FA51B75"/>
    <w:lvl w:ilvl="0" w:tentative="0">
      <w:start w:val="1"/>
      <w:numFmt w:val="chineseCounting"/>
      <w:suff w:val="space"/>
      <w:lvlText w:val="第%1节"/>
      <w:lvlJc w:val="left"/>
      <w:rPr>
        <w:rFonts w:hint="eastAsia"/>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5"/>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3273"/>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36D749D"/>
    <w:rsid w:val="050C2255"/>
    <w:rsid w:val="074D26E8"/>
    <w:rsid w:val="086F4E89"/>
    <w:rsid w:val="0A7F7D18"/>
    <w:rsid w:val="0B160E04"/>
    <w:rsid w:val="0BE172DB"/>
    <w:rsid w:val="0D675523"/>
    <w:rsid w:val="146D4471"/>
    <w:rsid w:val="17833641"/>
    <w:rsid w:val="17F953FE"/>
    <w:rsid w:val="18A95C99"/>
    <w:rsid w:val="18D800A2"/>
    <w:rsid w:val="1A5622F8"/>
    <w:rsid w:val="1AC85EEF"/>
    <w:rsid w:val="1FDF00FA"/>
    <w:rsid w:val="22194E7B"/>
    <w:rsid w:val="234D2443"/>
    <w:rsid w:val="23925788"/>
    <w:rsid w:val="248D2E3D"/>
    <w:rsid w:val="24974DE5"/>
    <w:rsid w:val="24F7BFB2"/>
    <w:rsid w:val="26F77A86"/>
    <w:rsid w:val="2C4B1110"/>
    <w:rsid w:val="2D236C10"/>
    <w:rsid w:val="3036679E"/>
    <w:rsid w:val="32FFB82F"/>
    <w:rsid w:val="338509CA"/>
    <w:rsid w:val="33C97E28"/>
    <w:rsid w:val="34344AEB"/>
    <w:rsid w:val="376DB9FD"/>
    <w:rsid w:val="37DF14D7"/>
    <w:rsid w:val="39D97B09"/>
    <w:rsid w:val="3AE1D223"/>
    <w:rsid w:val="3CBCC155"/>
    <w:rsid w:val="3DBFA13B"/>
    <w:rsid w:val="3DDD80E2"/>
    <w:rsid w:val="3FBDC15D"/>
    <w:rsid w:val="3FFD1894"/>
    <w:rsid w:val="3FFDA4D5"/>
    <w:rsid w:val="434D46EF"/>
    <w:rsid w:val="43CD6C62"/>
    <w:rsid w:val="45581556"/>
    <w:rsid w:val="457B2DA2"/>
    <w:rsid w:val="45E40491"/>
    <w:rsid w:val="469559FD"/>
    <w:rsid w:val="46CDE32D"/>
    <w:rsid w:val="479C701C"/>
    <w:rsid w:val="493FF266"/>
    <w:rsid w:val="4E7DEE22"/>
    <w:rsid w:val="4F234B8A"/>
    <w:rsid w:val="55E836B4"/>
    <w:rsid w:val="57FF2283"/>
    <w:rsid w:val="591760CC"/>
    <w:rsid w:val="598F115D"/>
    <w:rsid w:val="5ABB7F9C"/>
    <w:rsid w:val="5AD6085D"/>
    <w:rsid w:val="5BD6CC9F"/>
    <w:rsid w:val="5D77C3FA"/>
    <w:rsid w:val="5DEF4FB8"/>
    <w:rsid w:val="5EABF06C"/>
    <w:rsid w:val="5EAFF030"/>
    <w:rsid w:val="5EB6CE07"/>
    <w:rsid w:val="5ED9C4F7"/>
    <w:rsid w:val="5F43B1E4"/>
    <w:rsid w:val="5FCD1EEF"/>
    <w:rsid w:val="5FE71B7A"/>
    <w:rsid w:val="64B86B45"/>
    <w:rsid w:val="64C8508B"/>
    <w:rsid w:val="655F72C4"/>
    <w:rsid w:val="671F5FB1"/>
    <w:rsid w:val="67EF7996"/>
    <w:rsid w:val="67FFC896"/>
    <w:rsid w:val="68757309"/>
    <w:rsid w:val="6CCE494E"/>
    <w:rsid w:val="6EEFBFC5"/>
    <w:rsid w:val="6F7A57CA"/>
    <w:rsid w:val="6F7B2522"/>
    <w:rsid w:val="6FCF465D"/>
    <w:rsid w:val="6FF47B9D"/>
    <w:rsid w:val="706BFA87"/>
    <w:rsid w:val="72A9671B"/>
    <w:rsid w:val="73646BDD"/>
    <w:rsid w:val="73EB4F28"/>
    <w:rsid w:val="74243370"/>
    <w:rsid w:val="749F11E6"/>
    <w:rsid w:val="750C2EB4"/>
    <w:rsid w:val="75732837"/>
    <w:rsid w:val="76BE614C"/>
    <w:rsid w:val="77FF3087"/>
    <w:rsid w:val="77FF55F7"/>
    <w:rsid w:val="78BFEF5A"/>
    <w:rsid w:val="797F1C94"/>
    <w:rsid w:val="797FF59B"/>
    <w:rsid w:val="79DD44EB"/>
    <w:rsid w:val="79FF6C1F"/>
    <w:rsid w:val="79FFF6B9"/>
    <w:rsid w:val="7A6569CF"/>
    <w:rsid w:val="7AEDA9AC"/>
    <w:rsid w:val="7AFFA4CA"/>
    <w:rsid w:val="7BAAE77D"/>
    <w:rsid w:val="7BEFF35F"/>
    <w:rsid w:val="7BFA64FF"/>
    <w:rsid w:val="7BFECB23"/>
    <w:rsid w:val="7BFF303C"/>
    <w:rsid w:val="7C72550A"/>
    <w:rsid w:val="7D9F6C14"/>
    <w:rsid w:val="7DF53371"/>
    <w:rsid w:val="7DFE560D"/>
    <w:rsid w:val="7E960D71"/>
    <w:rsid w:val="7ECB3A1E"/>
    <w:rsid w:val="7EEE621A"/>
    <w:rsid w:val="7EEFD03C"/>
    <w:rsid w:val="7F1B3127"/>
    <w:rsid w:val="7F5F930D"/>
    <w:rsid w:val="7FA9C78D"/>
    <w:rsid w:val="7FB31376"/>
    <w:rsid w:val="7FB705C8"/>
    <w:rsid w:val="7FBA2892"/>
    <w:rsid w:val="7FCFB88D"/>
    <w:rsid w:val="7FDA239E"/>
    <w:rsid w:val="7FDA9E61"/>
    <w:rsid w:val="7FDDAA27"/>
    <w:rsid w:val="7FFA92DC"/>
    <w:rsid w:val="7FFEC83C"/>
    <w:rsid w:val="8BFEBEE3"/>
    <w:rsid w:val="9DEF4AC4"/>
    <w:rsid w:val="9FAFF473"/>
    <w:rsid w:val="9FE9F7C5"/>
    <w:rsid w:val="9FF3BAC7"/>
    <w:rsid w:val="A5B7E7C0"/>
    <w:rsid w:val="A6EFB0BE"/>
    <w:rsid w:val="A8B3C67C"/>
    <w:rsid w:val="ABFD8EC7"/>
    <w:rsid w:val="AFBF5BF0"/>
    <w:rsid w:val="B1BD5606"/>
    <w:rsid w:val="B673C065"/>
    <w:rsid w:val="B74B7966"/>
    <w:rsid w:val="B79B1135"/>
    <w:rsid w:val="B7A5C42C"/>
    <w:rsid w:val="B7EEE632"/>
    <w:rsid w:val="B7FFA000"/>
    <w:rsid w:val="BAC74E39"/>
    <w:rsid w:val="BD7BD8CB"/>
    <w:rsid w:val="BDB9E375"/>
    <w:rsid w:val="BDF92D5D"/>
    <w:rsid w:val="BFAAC6C3"/>
    <w:rsid w:val="BFDD7AD2"/>
    <w:rsid w:val="BFF62FA2"/>
    <w:rsid w:val="BFF7F56E"/>
    <w:rsid w:val="CDB7075D"/>
    <w:rsid w:val="CED115FC"/>
    <w:rsid w:val="CFBB6F3C"/>
    <w:rsid w:val="CFEF9E41"/>
    <w:rsid w:val="D27606B8"/>
    <w:rsid w:val="D6FFCAB8"/>
    <w:rsid w:val="D79C9D74"/>
    <w:rsid w:val="D7D9171C"/>
    <w:rsid w:val="D83F7043"/>
    <w:rsid w:val="DBBEF870"/>
    <w:rsid w:val="DEF9D216"/>
    <w:rsid w:val="DFAFBD91"/>
    <w:rsid w:val="E9DF212A"/>
    <w:rsid w:val="EAFA412F"/>
    <w:rsid w:val="EBA7E5CE"/>
    <w:rsid w:val="EDEF484C"/>
    <w:rsid w:val="EF3E8212"/>
    <w:rsid w:val="EFF91D23"/>
    <w:rsid w:val="F0FCD073"/>
    <w:rsid w:val="F3DD1B04"/>
    <w:rsid w:val="F4F3022A"/>
    <w:rsid w:val="F69E1C47"/>
    <w:rsid w:val="F6CDEC06"/>
    <w:rsid w:val="F6E3C7EA"/>
    <w:rsid w:val="F7AD59C9"/>
    <w:rsid w:val="F7F7A1D4"/>
    <w:rsid w:val="F7FF96DD"/>
    <w:rsid w:val="F99B7F89"/>
    <w:rsid w:val="F9D6BC99"/>
    <w:rsid w:val="F9DED377"/>
    <w:rsid w:val="F9EFA7AC"/>
    <w:rsid w:val="F9FDC2BA"/>
    <w:rsid w:val="FABC4EF0"/>
    <w:rsid w:val="FC7F8104"/>
    <w:rsid w:val="FE7EB2F3"/>
    <w:rsid w:val="FEF390EE"/>
    <w:rsid w:val="FF2E2848"/>
    <w:rsid w:val="FFC52555"/>
    <w:rsid w:val="FFD5226B"/>
    <w:rsid w:val="FFEDB541"/>
    <w:rsid w:val="FFF66692"/>
    <w:rsid w:val="FFF94614"/>
    <w:rsid w:val="FFFF1D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rFonts w:ascii="Calibri" w:hAnsi="Calibri" w:eastAsia="仿宋" w:cs="Arial"/>
      <w:b/>
      <w:bCs/>
      <w:kern w:val="44"/>
      <w:sz w:val="44"/>
      <w:szCs w:val="22"/>
      <w:lang w:bidi="ar-SA"/>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cs="Arial"/>
      <w:b/>
      <w:sz w:val="32"/>
      <w:szCs w:val="22"/>
      <w:lang w:bidi="ar-SA"/>
    </w:rPr>
  </w:style>
  <w:style w:type="paragraph" w:styleId="5">
    <w:name w:val="heading 3"/>
    <w:basedOn w:val="1"/>
    <w:next w:val="1"/>
    <w:qFormat/>
    <w:uiPriority w:val="0"/>
    <w:pPr>
      <w:keepNext/>
      <w:keepLines/>
      <w:widowControl w:val="0"/>
      <w:spacing w:before="260" w:after="260" w:line="415" w:lineRule="auto"/>
      <w:outlineLvl w:val="2"/>
    </w:pPr>
    <w:rPr>
      <w:rFonts w:ascii="Calibri" w:hAnsi="Calibri" w:eastAsia="仿宋" w:cs="Arial"/>
      <w:b/>
      <w:sz w:val="32"/>
      <w:szCs w:val="22"/>
      <w:lang w:bidi="ar-SA"/>
    </w:rPr>
  </w:style>
  <w:style w:type="character" w:default="1" w:styleId="12">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style>
  <w:style w:type="paragraph" w:styleId="2">
    <w:name w:val="Body Text"/>
    <w:basedOn w:val="1"/>
    <w:next w:val="1"/>
    <w:qFormat/>
    <w:uiPriority w:val="0"/>
    <w:pPr>
      <w:spacing w:before="100" w:beforeAutospacing="1" w:after="120"/>
      <w:ind w:firstLine="200" w:firstLineChars="200"/>
    </w:pPr>
    <w:rPr>
      <w:rFonts w:ascii="仿宋" w:hAnsi="Calibri" w:eastAsia="仿宋" w:cs="Arial"/>
      <w:sz w:val="32"/>
      <w:szCs w:val="32"/>
      <w:lang w:bidi="ar-SA"/>
    </w:rPr>
  </w:style>
  <w:style w:type="paragraph" w:styleId="6">
    <w:name w:val="Body Text Indent"/>
    <w:basedOn w:val="1"/>
    <w:next w:val="2"/>
    <w:unhideWhenUsed/>
    <w:qFormat/>
    <w:uiPriority w:val="99"/>
    <w:pPr>
      <w:spacing w:after="120"/>
      <w:ind w:left="420" w:leftChars="200"/>
    </w:pPr>
    <w:rPr>
      <w:rFonts w:ascii="Times New Roman" w:hAnsi="Times New Roman" w:eastAsia="仿宋" w:cs="Mongolian Baiti"/>
      <w:kern w:val="0"/>
      <w:sz w:val="28"/>
      <w:szCs w:val="28"/>
      <w:lang w:bidi="mn-Mong-CN"/>
    </w:rPr>
  </w:style>
  <w:style w:type="paragraph" w:styleId="7">
    <w:name w:val="Date"/>
    <w:basedOn w:val="1"/>
    <w:next w:val="1"/>
    <w:link w:val="18"/>
    <w:uiPriority w:val="0"/>
    <w:pPr>
      <w:ind w:left="100" w:leftChars="2500"/>
    </w:pPr>
    <w:rPr>
      <w:rFonts w:ascii="仿宋_GB2312" w:eastAsia="仿宋_GB2312"/>
      <w:sz w:val="32"/>
    </w:rPr>
  </w:style>
  <w:style w:type="paragraph" w:styleId="8">
    <w:name w:val="Balloon Text"/>
    <w:basedOn w:val="1"/>
    <w:semiHidden/>
    <w:uiPriority w:val="0"/>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Body Text First Indent 2"/>
    <w:basedOn w:val="6"/>
    <w:qFormat/>
    <w:uiPriority w:val="0"/>
    <w:pPr>
      <w:ind w:left="0" w:leftChars="0"/>
    </w:pPr>
  </w:style>
  <w:style w:type="paragraph" w:styleId="11">
    <w:name w:val="header"/>
    <w:basedOn w:val="1"/>
    <w:link w:val="20"/>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uiPriority w:val="0"/>
  </w:style>
  <w:style w:type="table" w:styleId="15">
    <w:name w:val="Table Grid"/>
    <w:basedOn w:val="14"/>
    <w:unhideWhenUsed/>
    <w:qFormat/>
    <w:uiPriority w:val="0"/>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列出段落1"/>
    <w:basedOn w:val="1"/>
    <w:qFormat/>
    <w:uiPriority w:val="0"/>
    <w:pPr>
      <w:ind w:firstLine="420" w:firstLineChars="200"/>
    </w:pPr>
    <w:rPr>
      <w:rFonts w:ascii="Calibri" w:hAnsi="Calibri" w:eastAsia="宋体" w:cs="Mongolian Baiti"/>
      <w:szCs w:val="28"/>
      <w:lang w:bidi="mn-Mong-CN"/>
    </w:rPr>
  </w:style>
  <w:style w:type="paragraph" w:styleId="17">
    <w:name w:val="List Paragraph"/>
    <w:basedOn w:val="1"/>
    <w:qFormat/>
    <w:uiPriority w:val="34"/>
    <w:pPr>
      <w:ind w:firstLine="420" w:firstLineChars="200"/>
    </w:pPr>
    <w:rPr>
      <w:rFonts w:ascii="Calibri" w:hAnsi="Calibri" w:eastAsia="宋体" w:cs="Mongolian Baiti"/>
      <w:szCs w:val="28"/>
      <w:lang w:bidi="mn-Mong-CN"/>
    </w:rPr>
  </w:style>
  <w:style w:type="character" w:customStyle="1" w:styleId="18">
    <w:name w:val=" Char Char2"/>
    <w:basedOn w:val="12"/>
    <w:link w:val="7"/>
    <w:uiPriority w:val="0"/>
    <w:rPr>
      <w:rFonts w:ascii="仿宋_GB2312" w:hAnsi="Times New Roman" w:eastAsia="仿宋_GB2312" w:cs="Times New Roman"/>
      <w:kern w:val="2"/>
      <w:sz w:val="32"/>
      <w:szCs w:val="24"/>
      <w:lang w:bidi="ar-SA"/>
    </w:rPr>
  </w:style>
  <w:style w:type="character" w:customStyle="1" w:styleId="19">
    <w:name w:val=" Char Char"/>
    <w:basedOn w:val="12"/>
    <w:link w:val="9"/>
    <w:semiHidden/>
    <w:uiPriority w:val="99"/>
    <w:rPr>
      <w:rFonts w:ascii="Calibri" w:hAnsi="Calibri" w:eastAsia="宋体" w:cs="Mongolian Baiti"/>
      <w:kern w:val="2"/>
      <w:sz w:val="18"/>
      <w:szCs w:val="22"/>
    </w:rPr>
  </w:style>
  <w:style w:type="character" w:customStyle="1" w:styleId="20">
    <w:name w:val=" Char Char1"/>
    <w:basedOn w:val="12"/>
    <w:link w:val="11"/>
    <w:semiHidden/>
    <w:uiPriority w:val="99"/>
    <w:rPr>
      <w:rFonts w:ascii="Calibri" w:hAnsi="Calibri" w:eastAsia="宋体" w:cs="Mongolian Baiti"/>
      <w:kern w:val="2"/>
      <w:sz w:val="18"/>
      <w:szCs w:val="22"/>
    </w:rPr>
  </w:style>
  <w:style w:type="character" w:customStyle="1" w:styleId="21">
    <w:name w:val="font1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16</TotalTime>
  <ScaleCrop>false</ScaleCrop>
  <LinksUpToDate>false</LinksUpToDate>
  <CharactersWithSpaces>88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2012-11-18T14:34:00Z</dcterms:created>
  <dc:creator>王蕾:打印</dc:creator>
  <cp:lastModifiedBy>admin</cp:lastModifiedBy>
  <dcterms:modified xsi:type="dcterms:W3CDTF">2021-10-15T09:05:29Z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