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80" w:lineRule="exact"/>
        <w:rPr>
          <w:rFonts w:hint="eastAsia"/>
        </w:rPr>
      </w:pPr>
    </w:p>
    <w:p>
      <w:pPr>
        <w:keepNext w:val="0"/>
        <w:keepLines w:val="0"/>
        <w:pageBreakBefore w:val="0"/>
        <w:kinsoku/>
        <w:wordWrap/>
        <w:overflowPunct/>
        <w:topLinePunct w:val="0"/>
        <w:autoSpaceDE/>
        <w:autoSpaceDN/>
        <w:bidi w:val="0"/>
        <w:adjustRightInd/>
        <w:snapToGrid/>
        <w:spacing w:line="580" w:lineRule="exact"/>
        <w:ind w:right="0" w:rightChars="0"/>
        <w:jc w:val="center"/>
        <w:textAlignment w:val="auto"/>
        <w:outlineLvl w:val="9"/>
        <w:rPr>
          <w:rFonts w:hint="eastAsia" w:ascii="方正小标宋_GBK" w:hAnsi="方正小标宋_GBK" w:eastAsia="方正小标宋_GBK" w:cs="方正小标宋_GBK"/>
          <w:sz w:val="44"/>
          <w:szCs w:val="44"/>
          <w:lang w:eastAsia="zh-CN"/>
        </w:rPr>
      </w:pPr>
      <w:bookmarkStart w:id="0" w:name="标题"/>
      <w:bookmarkEnd w:id="0"/>
      <w:r>
        <w:rPr>
          <w:rFonts w:hint="eastAsia" w:ascii="方正小标宋_GBK" w:hAnsi="方正小标宋_GBK" w:eastAsia="方正小标宋_GBK" w:cs="方正小标宋_GBK"/>
          <w:spacing w:val="11"/>
          <w:sz w:val="44"/>
          <w:szCs w:val="44"/>
          <w:lang w:eastAsia="zh-CN"/>
        </w:rPr>
        <w:t>内蒙古自治区人民政府办公厅</w:t>
      </w:r>
    </w:p>
    <w:p>
      <w:pPr>
        <w:keepNext w:val="0"/>
        <w:keepLines w:val="0"/>
        <w:pageBreakBefore w:val="0"/>
        <w:kinsoku/>
        <w:wordWrap/>
        <w:overflowPunct/>
        <w:topLinePunct w:val="0"/>
        <w:autoSpaceDE/>
        <w:autoSpaceDN/>
        <w:bidi w:val="0"/>
        <w:adjustRightInd/>
        <w:snapToGrid/>
        <w:spacing w:line="580" w:lineRule="exact"/>
        <w:ind w:right="0" w:rightChars="0"/>
        <w:jc w:val="center"/>
        <w:textAlignment w:val="auto"/>
        <w:outlineLvl w:val="9"/>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关于建立健全养老服务综合监管制度促进</w:t>
      </w:r>
    </w:p>
    <w:p>
      <w:pPr>
        <w:keepNext w:val="0"/>
        <w:keepLines w:val="0"/>
        <w:pageBreakBefore w:val="0"/>
        <w:kinsoku/>
        <w:wordWrap/>
        <w:overflowPunct/>
        <w:topLinePunct w:val="0"/>
        <w:autoSpaceDE/>
        <w:autoSpaceDN/>
        <w:bidi w:val="0"/>
        <w:adjustRightInd/>
        <w:snapToGrid/>
        <w:spacing w:line="580" w:lineRule="exact"/>
        <w:ind w:right="0" w:rightChars="0"/>
        <w:jc w:val="center"/>
        <w:textAlignment w:val="auto"/>
        <w:outlineLvl w:val="9"/>
        <w:rPr>
          <w:rFonts w:hint="eastAsia" w:ascii="方正小标宋_GBK" w:hAnsi="方正小标宋_GBK" w:eastAsia="方正小标宋_GBK" w:cs="方正小标宋_GBK"/>
          <w:spacing w:val="-6"/>
          <w:sz w:val="44"/>
          <w:szCs w:val="44"/>
          <w:lang w:eastAsia="zh-CN"/>
        </w:rPr>
      </w:pPr>
      <w:r>
        <w:rPr>
          <w:rFonts w:hint="eastAsia" w:ascii="方正小标宋_GBK" w:hAnsi="方正小标宋_GBK" w:eastAsia="方正小标宋_GBK" w:cs="方正小标宋_GBK"/>
          <w:spacing w:val="-6"/>
          <w:sz w:val="44"/>
          <w:szCs w:val="44"/>
          <w:lang w:eastAsia="zh-CN"/>
        </w:rPr>
        <w:t>养老服务高质量发展若干措施的通知</w:t>
      </w:r>
    </w:p>
    <w:p>
      <w:pPr>
        <w:keepNext w:val="0"/>
        <w:keepLines w:val="0"/>
        <w:pageBreakBefore w:val="0"/>
        <w:kinsoku/>
        <w:wordWrap/>
        <w:overflowPunct/>
        <w:topLinePunct w:val="0"/>
        <w:autoSpaceDE/>
        <w:autoSpaceDN/>
        <w:bidi w:val="0"/>
        <w:adjustRightInd/>
        <w:snapToGrid/>
        <w:spacing w:line="580" w:lineRule="exact"/>
        <w:ind w:right="0" w:rightChars="0"/>
        <w:jc w:val="center"/>
        <w:textAlignment w:val="auto"/>
        <w:outlineLvl w:val="9"/>
        <w:rPr>
          <w:rFonts w:hint="eastAsia" w:ascii="方正小标宋_GBK" w:hAnsi="方正小标宋_GBK" w:eastAsia="方正小标宋_GBK" w:cs="方正小标宋_GBK"/>
          <w:spacing w:val="-6"/>
          <w:sz w:val="44"/>
          <w:szCs w:val="44"/>
          <w:lang w:eastAsia="zh-CN"/>
        </w:rPr>
      </w:pPr>
    </w:p>
    <w:p>
      <w:pPr>
        <w:keepNext w:val="0"/>
        <w:keepLines w:val="0"/>
        <w:pageBreakBefore w:val="0"/>
        <w:kinsoku/>
        <w:wordWrap/>
        <w:overflowPunct/>
        <w:topLinePunct w:val="0"/>
        <w:autoSpaceDE/>
        <w:autoSpaceDN/>
        <w:bidi w:val="0"/>
        <w:adjustRightInd/>
        <w:snapToGrid/>
        <w:spacing w:line="580" w:lineRule="exact"/>
        <w:ind w:right="0" w:rightChars="0"/>
        <w:jc w:val="center"/>
        <w:textAlignment w:val="auto"/>
        <w:outlineLvl w:val="9"/>
        <w:rPr>
          <w:rFonts w:hint="eastAsia" w:ascii="方正小标宋_GBK" w:hAnsi="方正小标宋_GBK" w:eastAsia="方正小标宋_GBK" w:cs="方正小标宋_GBK"/>
          <w:spacing w:val="-6"/>
          <w:sz w:val="44"/>
          <w:szCs w:val="44"/>
          <w:lang w:eastAsia="zh-CN"/>
        </w:rPr>
      </w:pPr>
      <w:r>
        <w:rPr>
          <w:rFonts w:hint="eastAsia" w:ascii="仿宋_GB2312" w:hAnsi="华文仿宋" w:eastAsia="仿宋_GB2312"/>
          <w:sz w:val="32"/>
          <w:lang w:eastAsia="zh-CN"/>
        </w:rPr>
        <w:t>内政办发〔2021〕26号</w:t>
      </w:r>
    </w:p>
    <w:p>
      <w:pPr>
        <w:keepNext w:val="0"/>
        <w:keepLines w:val="0"/>
        <w:pageBreakBefore w:val="0"/>
        <w:kinsoku/>
        <w:wordWrap/>
        <w:overflowPunct/>
        <w:topLinePunct w:val="0"/>
        <w:autoSpaceDE/>
        <w:autoSpaceDN/>
        <w:bidi w:val="0"/>
        <w:adjustRightInd/>
        <w:snapToGrid/>
        <w:spacing w:line="580" w:lineRule="exact"/>
        <w:ind w:right="0" w:rightChars="0"/>
        <w:jc w:val="center"/>
        <w:textAlignment w:val="auto"/>
        <w:outlineLvl w:val="9"/>
        <w:rPr>
          <w:rFonts w:hint="eastAsia"/>
          <w:sz w:val="30"/>
        </w:rPr>
      </w:pPr>
    </w:p>
    <w:p>
      <w:pPr>
        <w:keepNext w:val="0"/>
        <w:keepLines w:val="0"/>
        <w:pageBreakBefore w:val="0"/>
        <w:kinsoku/>
        <w:wordWrap/>
        <w:overflowPunct/>
        <w:topLinePunct w:val="0"/>
        <w:autoSpaceDE/>
        <w:autoSpaceDN/>
        <w:bidi w:val="0"/>
        <w:adjustRightInd/>
        <w:snapToGrid/>
        <w:spacing w:line="580" w:lineRule="exact"/>
        <w:ind w:right="0" w:rightChars="0"/>
        <w:jc w:val="both"/>
        <w:textAlignment w:val="auto"/>
        <w:outlineLvl w:val="9"/>
        <w:rPr>
          <w:rFonts w:hint="eastAsia" w:ascii="方正仿宋_GBK" w:hAnsi="方正仿宋_GBK" w:eastAsia="方正仿宋_GBK" w:cs="方正仿宋_GBK"/>
          <w:sz w:val="32"/>
          <w:szCs w:val="32"/>
          <w:lang w:eastAsia="zh-CN"/>
        </w:rPr>
      </w:pPr>
      <w:bookmarkStart w:id="1" w:name="主送单位"/>
      <w:bookmarkEnd w:id="1"/>
      <w:r>
        <w:rPr>
          <w:rFonts w:hint="eastAsia" w:ascii="方正仿宋_GBK" w:hAnsi="方正仿宋_GBK" w:eastAsia="方正仿宋_GBK" w:cs="方正仿宋_GBK"/>
          <w:sz w:val="32"/>
          <w:szCs w:val="32"/>
          <w:lang w:eastAsia="zh-CN"/>
        </w:rPr>
        <w:t>各盟行政公署、市人民政府，自治区各委、办、厅、局，各大企业、事业单位：</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outlineLvl w:val="9"/>
        <w:rPr>
          <w:rFonts w:hint="eastAsia" w:ascii="方正仿宋_GBK" w:hAnsi="方正仿宋_GBK" w:eastAsia="方正仿宋_GBK" w:cs="方正仿宋_GBK"/>
          <w:b/>
          <w:color w:val="000000"/>
          <w:sz w:val="32"/>
          <w:szCs w:val="32"/>
        </w:rPr>
      </w:pPr>
      <w:r>
        <w:rPr>
          <w:rFonts w:hint="eastAsia" w:ascii="方正仿宋_GBK" w:hAnsi="方正仿宋_GBK" w:eastAsia="方正仿宋_GBK" w:cs="方正仿宋_GBK"/>
          <w:b w:val="0"/>
          <w:bCs/>
          <w:color w:val="000000"/>
          <w:sz w:val="32"/>
          <w:szCs w:val="32"/>
          <w:lang w:eastAsia="zh-CN"/>
        </w:rPr>
        <w:t>为认真贯彻落实《国务院办公厅关于建立健全养老服务综合监管制度促进养老服务高质量发展的意见》（国办发〔</w:t>
      </w:r>
      <w:r>
        <w:rPr>
          <w:rFonts w:hint="eastAsia" w:ascii="方正仿宋_GBK" w:hAnsi="方正仿宋_GBK" w:eastAsia="方正仿宋_GBK" w:cs="方正仿宋_GBK"/>
          <w:b w:val="0"/>
          <w:bCs/>
          <w:color w:val="000000"/>
          <w:sz w:val="32"/>
          <w:szCs w:val="32"/>
          <w:lang w:val="en-US" w:eastAsia="zh-CN"/>
        </w:rPr>
        <w:t>2020</w:t>
      </w:r>
      <w:r>
        <w:rPr>
          <w:rFonts w:hint="eastAsia" w:ascii="方正仿宋_GBK" w:hAnsi="方正仿宋_GBK" w:eastAsia="方正仿宋_GBK" w:cs="方正仿宋_GBK"/>
          <w:b w:val="0"/>
          <w:bCs/>
          <w:color w:val="000000"/>
          <w:sz w:val="32"/>
          <w:szCs w:val="32"/>
          <w:lang w:eastAsia="zh-CN"/>
        </w:rPr>
        <w:t>〕</w:t>
      </w:r>
      <w:r>
        <w:rPr>
          <w:rFonts w:hint="eastAsia" w:ascii="方正仿宋_GBK" w:hAnsi="方正仿宋_GBK" w:eastAsia="方正仿宋_GBK" w:cs="方正仿宋_GBK"/>
          <w:b w:val="0"/>
          <w:bCs/>
          <w:color w:val="000000"/>
          <w:sz w:val="32"/>
          <w:szCs w:val="32"/>
          <w:lang w:val="en-US" w:eastAsia="zh-CN"/>
        </w:rPr>
        <w:t>48号</w:t>
      </w:r>
      <w:r>
        <w:rPr>
          <w:rFonts w:hint="eastAsia" w:ascii="方正仿宋_GBK" w:hAnsi="方正仿宋_GBK" w:eastAsia="方正仿宋_GBK" w:cs="方正仿宋_GBK"/>
          <w:b w:val="0"/>
          <w:bCs/>
          <w:color w:val="000000"/>
          <w:sz w:val="32"/>
          <w:szCs w:val="32"/>
          <w:lang w:eastAsia="zh-CN"/>
        </w:rPr>
        <w:t>）精神，深化“放管服”改革，加快形成高效规范、公平竞争的养老服务统一市场，建立健全全区养老服务综合监管新格局，不断优化营商环境，鼓励和引导养老服务机构守法经营、积极转型升级、持续优化服务，更好地满足老年人多层次、多样化的养老服务需求，经自治区人民政府同意，现提出以下措施。</w:t>
      </w:r>
    </w:p>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80" w:lineRule="exact"/>
        <w:ind w:left="420" w:leftChars="0" w:right="0" w:rightChars="0" w:firstLine="320" w:firstLineChars="100"/>
        <w:jc w:val="both"/>
        <w:textAlignment w:val="auto"/>
        <w:outlineLvl w:val="9"/>
        <w:rPr>
          <w:rFonts w:hint="eastAsia" w:ascii="方正黑体_GBK" w:hAnsi="方正黑体_GBK" w:eastAsia="方正黑体_GBK" w:cs="方正黑体_GBK"/>
          <w:color w:val="000000"/>
          <w:sz w:val="32"/>
          <w:szCs w:val="32"/>
          <w:lang w:eastAsia="zh-CN"/>
        </w:rPr>
      </w:pPr>
      <w:r>
        <w:rPr>
          <w:rFonts w:hint="eastAsia" w:ascii="方正黑体_GBK" w:hAnsi="方正黑体_GBK" w:eastAsia="方正黑体_GBK" w:cs="方正黑体_GBK"/>
          <w:color w:val="000000"/>
          <w:sz w:val="32"/>
          <w:szCs w:val="32"/>
          <w:lang w:eastAsia="zh-CN"/>
        </w:rPr>
        <w:t>一、明确监管对象和内容</w:t>
      </w:r>
    </w:p>
    <w:p>
      <w:pPr>
        <w:pStyle w:val="6"/>
        <w:keepNext w:val="0"/>
        <w:keepLines w:val="0"/>
        <w:pageBreakBefore w:val="0"/>
        <w:widowControl w:val="0"/>
        <w:numPr>
          <w:ilvl w:val="0"/>
          <w:numId w:val="0"/>
        </w:numPr>
        <w:suppressLineNumbers w:val="0"/>
        <w:kinsoku/>
        <w:wordWrap/>
        <w:overflowPunct/>
        <w:topLinePunct/>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000000"/>
          <w:sz w:val="32"/>
          <w:szCs w:val="32"/>
          <w:lang w:eastAsia="zh-CN"/>
        </w:rPr>
      </w:pPr>
      <w:r>
        <w:rPr>
          <w:rFonts w:hint="eastAsia" w:ascii="方正楷体_GBK" w:hAnsi="方正楷体_GBK" w:eastAsia="方正楷体_GBK" w:cs="方正楷体_GBK"/>
          <w:color w:val="000000"/>
          <w:sz w:val="32"/>
          <w:szCs w:val="32"/>
          <w:lang w:eastAsia="zh-CN"/>
        </w:rPr>
        <w:t>（一）明确监管对象和内容。</w:t>
      </w:r>
      <w:r>
        <w:rPr>
          <w:rFonts w:hint="eastAsia" w:ascii="方正仿宋_GBK" w:hAnsi="方正仿宋_GBK" w:eastAsia="方正仿宋_GBK" w:cs="方正仿宋_GBK"/>
          <w:color w:val="000000"/>
          <w:sz w:val="32"/>
          <w:szCs w:val="32"/>
          <w:lang w:eastAsia="zh-CN"/>
        </w:rPr>
        <w:t>按照“谁审批谁监管、谁主管谁监管”的原则，加强对在市场监管、民政、人力资源社会保障部门登记和备案的养老服务机构（包括养老机构、居家社区养老服务机构）、养老服务评估机构</w:t>
      </w:r>
      <w:r>
        <w:rPr>
          <w:rFonts w:hint="eastAsia" w:ascii="方正仿宋_GBK" w:hAnsi="方正仿宋_GBK" w:eastAsia="方正仿宋_GBK" w:cs="方正仿宋_GBK"/>
          <w:color w:val="auto"/>
          <w:sz w:val="32"/>
          <w:szCs w:val="32"/>
          <w:lang w:eastAsia="zh-CN"/>
        </w:rPr>
        <w:t>、养老服务培训机构</w:t>
      </w:r>
      <w:r>
        <w:rPr>
          <w:rFonts w:hint="eastAsia" w:ascii="方正仿宋_GBK" w:hAnsi="方正仿宋_GBK" w:eastAsia="方正仿宋_GBK" w:cs="方正仿宋_GBK"/>
          <w:color w:val="000000"/>
          <w:sz w:val="32"/>
          <w:szCs w:val="32"/>
          <w:lang w:eastAsia="zh-CN"/>
        </w:rPr>
        <w:t>的消防安全、建筑安全、食品安全、医疗卫生、运营管理、应急处置、从业人员、收费管理、财政资金、土地使用等方面的综合监管。</w:t>
      </w:r>
    </w:p>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outlineLvl w:val="9"/>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lang w:eastAsia="zh-CN"/>
        </w:rPr>
        <w:t>二、突出抓好</w:t>
      </w:r>
      <w:r>
        <w:rPr>
          <w:rFonts w:hint="eastAsia" w:ascii="方正黑体_GBK" w:hAnsi="方正黑体_GBK" w:eastAsia="方正黑体_GBK" w:cs="方正黑体_GBK"/>
          <w:color w:val="000000"/>
          <w:sz w:val="32"/>
          <w:szCs w:val="32"/>
        </w:rPr>
        <w:t>质量安全监管</w:t>
      </w:r>
    </w:p>
    <w:p>
      <w:pPr>
        <w:pStyle w:val="6"/>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000000"/>
          <w:sz w:val="32"/>
          <w:szCs w:val="32"/>
          <w:lang w:eastAsia="zh-CN"/>
        </w:rPr>
      </w:pPr>
      <w:r>
        <w:rPr>
          <w:rFonts w:hint="eastAsia" w:ascii="方正楷体_GBK" w:hAnsi="方正楷体_GBK" w:eastAsia="方正楷体_GBK" w:cs="方正楷体_GBK"/>
          <w:b w:val="0"/>
          <w:bCs w:val="0"/>
          <w:color w:val="000000"/>
          <w:sz w:val="32"/>
          <w:szCs w:val="32"/>
          <w:lang w:val="en-US" w:eastAsia="zh-CN"/>
        </w:rPr>
        <w:t>（二）强化</w:t>
      </w:r>
      <w:r>
        <w:rPr>
          <w:rFonts w:hint="eastAsia" w:ascii="方正楷体_GBK" w:hAnsi="方正楷体_GBK" w:eastAsia="方正楷体_GBK" w:cs="方正楷体_GBK"/>
          <w:b w:val="0"/>
          <w:bCs w:val="0"/>
          <w:color w:val="000000"/>
          <w:sz w:val="32"/>
          <w:szCs w:val="32"/>
          <w:lang w:eastAsia="zh-CN"/>
        </w:rPr>
        <w:t>安全隐患排查整治。</w:t>
      </w:r>
      <w:r>
        <w:rPr>
          <w:rFonts w:hint="eastAsia" w:ascii="方正仿宋_GBK" w:hAnsi="方正仿宋_GBK" w:eastAsia="方正仿宋_GBK" w:cs="方正仿宋_GBK"/>
          <w:color w:val="000000"/>
          <w:sz w:val="32"/>
          <w:szCs w:val="32"/>
          <w:lang w:eastAsia="zh-CN"/>
        </w:rPr>
        <w:t>全面落实养老服务机构质量安全部门监管责任。各</w:t>
      </w:r>
      <w:r>
        <w:rPr>
          <w:rFonts w:hint="eastAsia" w:ascii="方正仿宋_GBK" w:hAnsi="方正仿宋_GBK" w:eastAsia="方正仿宋_GBK" w:cs="方正仿宋_GBK"/>
          <w:b w:val="0"/>
          <w:bCs w:val="0"/>
          <w:color w:val="auto"/>
          <w:sz w:val="32"/>
          <w:szCs w:val="32"/>
          <w:lang w:eastAsia="zh-CN"/>
        </w:rPr>
        <w:t>盟市</w:t>
      </w:r>
      <w:r>
        <w:rPr>
          <w:rFonts w:hint="eastAsia" w:ascii="方正仿宋_GBK" w:hAnsi="方正仿宋_GBK" w:eastAsia="方正仿宋_GBK" w:cs="方正仿宋_GBK"/>
          <w:color w:val="000000"/>
          <w:sz w:val="32"/>
          <w:szCs w:val="32"/>
          <w:lang w:eastAsia="zh-CN"/>
        </w:rPr>
        <w:t>民政部门</w:t>
      </w:r>
      <w:r>
        <w:rPr>
          <w:rFonts w:hint="eastAsia" w:ascii="方正仿宋_GBK" w:hAnsi="方正仿宋_GBK" w:eastAsia="方正仿宋_GBK" w:cs="方正仿宋_GBK"/>
          <w:color w:val="000000"/>
          <w:sz w:val="32"/>
          <w:szCs w:val="32"/>
          <w:lang w:val="en-US" w:eastAsia="zh-CN"/>
        </w:rPr>
        <w:t>每年要</w:t>
      </w:r>
      <w:r>
        <w:rPr>
          <w:rFonts w:hint="eastAsia" w:ascii="方正仿宋_GBK" w:hAnsi="方正仿宋_GBK" w:eastAsia="方正仿宋_GBK" w:cs="方正仿宋_GBK"/>
          <w:color w:val="000000"/>
          <w:sz w:val="32"/>
          <w:szCs w:val="32"/>
          <w:lang w:eastAsia="zh-CN"/>
        </w:rPr>
        <w:t>会同</w:t>
      </w:r>
      <w:r>
        <w:rPr>
          <w:rFonts w:hint="eastAsia" w:ascii="方正仿宋_GBK" w:hAnsi="方正仿宋_GBK" w:eastAsia="方正仿宋_GBK" w:cs="方正仿宋_GBK"/>
          <w:color w:val="000000"/>
          <w:sz w:val="32"/>
          <w:szCs w:val="32"/>
        </w:rPr>
        <w:t>消防救援机构</w:t>
      </w:r>
      <w:r>
        <w:rPr>
          <w:rFonts w:hint="eastAsia" w:ascii="方正仿宋_GBK" w:hAnsi="方正仿宋_GBK" w:eastAsia="方正仿宋_GBK" w:cs="方正仿宋_GBK"/>
          <w:color w:val="000000"/>
          <w:sz w:val="32"/>
          <w:szCs w:val="32"/>
          <w:lang w:eastAsia="zh-CN"/>
        </w:rPr>
        <w:t>和</w:t>
      </w:r>
      <w:r>
        <w:rPr>
          <w:rFonts w:hint="eastAsia" w:ascii="方正仿宋_GBK" w:hAnsi="方正仿宋_GBK" w:eastAsia="方正仿宋_GBK" w:cs="方正仿宋_GBK"/>
          <w:color w:val="000000"/>
          <w:sz w:val="32"/>
          <w:szCs w:val="32"/>
        </w:rPr>
        <w:t>住房城乡建设</w:t>
      </w:r>
      <w:r>
        <w:rPr>
          <w:rFonts w:hint="eastAsia" w:ascii="方正仿宋_GBK" w:hAnsi="方正仿宋_GBK" w:eastAsia="方正仿宋_GBK" w:cs="方正仿宋_GBK"/>
          <w:color w:val="000000"/>
          <w:sz w:val="32"/>
          <w:szCs w:val="32"/>
          <w:lang w:eastAsia="zh-CN"/>
        </w:rPr>
        <w:t>、市场监管、卫生健康等部门，对本地区养老服务机构至少开展</w:t>
      </w:r>
      <w:r>
        <w:rPr>
          <w:rFonts w:hint="eastAsia" w:ascii="方正仿宋_GBK" w:hAnsi="方正仿宋_GBK" w:eastAsia="方正仿宋_GBK" w:cs="方正仿宋_GBK"/>
          <w:color w:val="000000"/>
          <w:sz w:val="32"/>
          <w:szCs w:val="32"/>
          <w:lang w:val="en-US" w:eastAsia="zh-CN"/>
        </w:rPr>
        <w:t>1次</w:t>
      </w:r>
      <w:r>
        <w:rPr>
          <w:rFonts w:hint="eastAsia" w:ascii="方正仿宋_GBK" w:hAnsi="方正仿宋_GBK" w:eastAsia="方正仿宋_GBK" w:cs="方正仿宋_GBK"/>
          <w:color w:val="000000"/>
          <w:sz w:val="32"/>
          <w:szCs w:val="32"/>
          <w:lang w:eastAsia="zh-CN"/>
        </w:rPr>
        <w:t>“双随机、一公开”执法检查，及时发现消防安全、建筑安全、食品安全、医疗质量、卫生防疫、运营管理、应急处置等方面的安全隐患，并督促养老服务机构整改消除。民政部门要会同消防救援机构和住房城乡建设等有关部门，抓好养老服务机构消防安全整治工作，摸清消防安全状况，</w:t>
      </w:r>
      <w:r>
        <w:rPr>
          <w:rFonts w:hint="eastAsia" w:ascii="方正仿宋_GBK" w:hAnsi="方正仿宋_GBK" w:eastAsia="方正仿宋_GBK" w:cs="方正仿宋_GBK"/>
          <w:color w:val="000000"/>
          <w:sz w:val="32"/>
          <w:szCs w:val="32"/>
        </w:rPr>
        <w:t>建立</w:t>
      </w:r>
      <w:r>
        <w:rPr>
          <w:rFonts w:hint="eastAsia" w:ascii="方正仿宋_GBK" w:hAnsi="方正仿宋_GBK" w:eastAsia="方正仿宋_GBK" w:cs="方正仿宋_GBK"/>
          <w:color w:val="000000"/>
          <w:sz w:val="32"/>
          <w:szCs w:val="32"/>
          <w:lang w:eastAsia="zh-CN"/>
        </w:rPr>
        <w:t>消防火灾</w:t>
      </w:r>
      <w:r>
        <w:rPr>
          <w:rFonts w:hint="eastAsia" w:ascii="方正仿宋_GBK" w:hAnsi="方正仿宋_GBK" w:eastAsia="方正仿宋_GBK" w:cs="方正仿宋_GBK"/>
          <w:color w:val="000000"/>
          <w:sz w:val="32"/>
          <w:szCs w:val="32"/>
        </w:rPr>
        <w:t>隐患、整改、责任“三个清单”，对</w:t>
      </w:r>
      <w:r>
        <w:rPr>
          <w:rFonts w:hint="eastAsia" w:ascii="方正仿宋_GBK" w:hAnsi="方正仿宋_GBK" w:eastAsia="方正仿宋_GBK" w:cs="方正仿宋_GBK"/>
          <w:color w:val="000000"/>
          <w:sz w:val="32"/>
          <w:szCs w:val="32"/>
          <w:lang w:eastAsia="zh-CN"/>
        </w:rPr>
        <w:t>发现的</w:t>
      </w:r>
      <w:r>
        <w:rPr>
          <w:rFonts w:hint="eastAsia" w:ascii="方正仿宋_GBK" w:hAnsi="方正仿宋_GBK" w:eastAsia="方正仿宋_GBK" w:cs="方正仿宋_GBK"/>
          <w:color w:val="000000"/>
          <w:sz w:val="32"/>
          <w:szCs w:val="32"/>
        </w:rPr>
        <w:t>重大火灾隐患要提请</w:t>
      </w:r>
      <w:r>
        <w:rPr>
          <w:rFonts w:hint="eastAsia" w:ascii="方正仿宋_GBK" w:hAnsi="方正仿宋_GBK" w:eastAsia="方正仿宋_GBK" w:cs="方正仿宋_GBK"/>
          <w:color w:val="000000"/>
          <w:sz w:val="32"/>
          <w:szCs w:val="32"/>
          <w:lang w:eastAsia="zh-CN"/>
        </w:rPr>
        <w:t>当地人民</w:t>
      </w:r>
      <w:r>
        <w:rPr>
          <w:rFonts w:hint="eastAsia" w:ascii="方正仿宋_GBK" w:hAnsi="方正仿宋_GBK" w:eastAsia="方正仿宋_GBK" w:cs="方正仿宋_GBK"/>
          <w:color w:val="000000"/>
          <w:sz w:val="32"/>
          <w:szCs w:val="32"/>
        </w:rPr>
        <w:t>政府挂牌督办</w:t>
      </w:r>
      <w:r>
        <w:rPr>
          <w:rFonts w:hint="eastAsia" w:ascii="方正仿宋_GBK" w:hAnsi="方正仿宋_GBK" w:eastAsia="方正仿宋_GBK" w:cs="方正仿宋_GBK"/>
          <w:color w:val="000000"/>
          <w:sz w:val="32"/>
          <w:szCs w:val="32"/>
          <w:lang w:eastAsia="zh-CN"/>
        </w:rPr>
        <w:t>，确保及时</w:t>
      </w:r>
      <w:r>
        <w:rPr>
          <w:rFonts w:hint="eastAsia" w:ascii="方正仿宋_GBK" w:hAnsi="方正仿宋_GBK" w:eastAsia="方正仿宋_GBK" w:cs="方正仿宋_GBK"/>
          <w:color w:val="000000"/>
          <w:sz w:val="32"/>
          <w:szCs w:val="32"/>
        </w:rPr>
        <w:t>整改</w:t>
      </w:r>
      <w:r>
        <w:rPr>
          <w:rFonts w:hint="eastAsia" w:ascii="方正仿宋_GBK" w:hAnsi="方正仿宋_GBK" w:eastAsia="方正仿宋_GBK" w:cs="方正仿宋_GBK"/>
          <w:color w:val="000000"/>
          <w:sz w:val="32"/>
          <w:szCs w:val="32"/>
          <w:lang w:eastAsia="zh-CN"/>
        </w:rPr>
        <w:t>到位。</w:t>
      </w:r>
    </w:p>
    <w:p>
      <w:pPr>
        <w:pStyle w:val="6"/>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000000"/>
          <w:sz w:val="32"/>
          <w:szCs w:val="32"/>
          <w:lang w:eastAsia="zh-CN"/>
        </w:rPr>
      </w:pPr>
      <w:r>
        <w:rPr>
          <w:rFonts w:hint="eastAsia" w:ascii="方正楷体_GBK" w:hAnsi="方正楷体_GBK" w:eastAsia="方正楷体_GBK" w:cs="方正楷体_GBK"/>
          <w:color w:val="000000"/>
          <w:sz w:val="32"/>
          <w:szCs w:val="32"/>
          <w:lang w:val="en-US" w:eastAsia="zh-CN"/>
        </w:rPr>
        <w:t>（三）</w:t>
      </w:r>
      <w:r>
        <w:rPr>
          <w:rFonts w:hint="eastAsia" w:ascii="方正楷体_GBK" w:hAnsi="方正楷体_GBK" w:eastAsia="方正楷体_GBK" w:cs="方正楷体_GBK"/>
          <w:color w:val="000000"/>
          <w:sz w:val="32"/>
          <w:szCs w:val="32"/>
        </w:rPr>
        <w:t>加强从业人员监管。</w:t>
      </w:r>
      <w:r>
        <w:rPr>
          <w:rFonts w:hint="eastAsia" w:ascii="方正仿宋_GBK" w:hAnsi="方正仿宋_GBK" w:eastAsia="方正仿宋_GBK" w:cs="方正仿宋_GBK"/>
          <w:color w:val="000000"/>
          <w:sz w:val="32"/>
          <w:szCs w:val="32"/>
          <w:lang w:eastAsia="zh-CN"/>
        </w:rPr>
        <w:t>督促指导养老服务机构健全完善内部员工管理制度，制定员工守则。强化从业人员职业道德教育培训，全面落实</w:t>
      </w:r>
      <w:r>
        <w:rPr>
          <w:rFonts w:hint="eastAsia" w:ascii="方正仿宋_GBK" w:hAnsi="方正仿宋_GBK" w:eastAsia="方正仿宋_GBK" w:cs="方正仿宋_GBK"/>
          <w:color w:val="000000"/>
          <w:sz w:val="32"/>
          <w:szCs w:val="32"/>
        </w:rPr>
        <w:t>从事医疗护理、康复治疗、消防管理等服务的专业技术人员</w:t>
      </w:r>
      <w:r>
        <w:rPr>
          <w:rFonts w:hint="eastAsia" w:ascii="方正仿宋_GBK" w:hAnsi="方正仿宋_GBK" w:eastAsia="方正仿宋_GBK" w:cs="方正仿宋_GBK"/>
          <w:color w:val="000000"/>
          <w:sz w:val="32"/>
          <w:szCs w:val="32"/>
          <w:lang w:eastAsia="zh-CN"/>
        </w:rPr>
        <w:t>持证上岗制度。对发生</w:t>
      </w:r>
      <w:r>
        <w:rPr>
          <w:rFonts w:hint="eastAsia" w:ascii="方正仿宋_GBK" w:hAnsi="方正仿宋_GBK" w:eastAsia="方正仿宋_GBK" w:cs="方正仿宋_GBK"/>
          <w:color w:val="000000"/>
          <w:sz w:val="32"/>
          <w:szCs w:val="32"/>
        </w:rPr>
        <w:t>欺老、虐老等侵害老年人合法权益行为</w:t>
      </w:r>
      <w:r>
        <w:rPr>
          <w:rFonts w:hint="eastAsia" w:ascii="方正仿宋_GBK" w:hAnsi="方正仿宋_GBK" w:eastAsia="方正仿宋_GBK" w:cs="方正仿宋_GBK"/>
          <w:color w:val="000000"/>
          <w:sz w:val="32"/>
          <w:szCs w:val="32"/>
          <w:lang w:eastAsia="zh-CN"/>
        </w:rPr>
        <w:t>的</w:t>
      </w:r>
      <w:r>
        <w:rPr>
          <w:rFonts w:hint="eastAsia" w:ascii="方正仿宋_GBK" w:hAnsi="方正仿宋_GBK" w:eastAsia="方正仿宋_GBK" w:cs="方正仿宋_GBK"/>
          <w:color w:val="000000"/>
          <w:sz w:val="32"/>
          <w:szCs w:val="32"/>
        </w:rPr>
        <w:t>相关责任人实施行业禁入措施。</w:t>
      </w:r>
    </w:p>
    <w:p>
      <w:pPr>
        <w:pStyle w:val="6"/>
        <w:keepNext w:val="0"/>
        <w:keepLines w:val="0"/>
        <w:pageBreakBefore w:val="0"/>
        <w:widowControl w:val="0"/>
        <w:suppressLineNumbers w:val="0"/>
        <w:kinsoku/>
        <w:wordWrap/>
        <w:overflowPunct/>
        <w:topLinePunct/>
        <w:autoSpaceDE/>
        <w:autoSpaceDN/>
        <w:bidi w:val="0"/>
        <w:adjustRightInd/>
        <w:snapToGrid/>
        <w:spacing w:before="0" w:after="0" w:afterAutospacing="0" w:line="58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000000"/>
          <w:sz w:val="32"/>
          <w:szCs w:val="32"/>
          <w:lang w:eastAsia="zh-CN"/>
        </w:rPr>
      </w:pPr>
      <w:r>
        <w:rPr>
          <w:rFonts w:hint="eastAsia" w:ascii="方正楷体_GBK" w:hAnsi="方正楷体_GBK" w:eastAsia="方正楷体_GBK" w:cs="方正楷体_GBK"/>
          <w:color w:val="000000"/>
          <w:spacing w:val="0"/>
          <w:sz w:val="32"/>
          <w:szCs w:val="32"/>
          <w:lang w:eastAsia="zh-CN"/>
        </w:rPr>
        <w:t>（四）加强评价培训组织监管。</w:t>
      </w:r>
      <w:r>
        <w:rPr>
          <w:rFonts w:hint="eastAsia" w:ascii="方正仿宋_GBK" w:hAnsi="方正仿宋_GBK" w:eastAsia="方正仿宋_GBK" w:cs="方正仿宋_GBK"/>
          <w:color w:val="000000"/>
          <w:spacing w:val="0"/>
          <w:sz w:val="32"/>
          <w:szCs w:val="32"/>
          <w:lang w:eastAsia="zh-CN"/>
        </w:rPr>
        <w:t>强化</w:t>
      </w:r>
      <w:r>
        <w:rPr>
          <w:rFonts w:hint="eastAsia" w:ascii="方正仿宋_GBK" w:hAnsi="方正仿宋_GBK" w:eastAsia="方正仿宋_GBK" w:cs="方正仿宋_GBK"/>
          <w:color w:val="000000"/>
          <w:spacing w:val="0"/>
          <w:sz w:val="32"/>
          <w:szCs w:val="32"/>
        </w:rPr>
        <w:t>事中事后监管，</w:t>
      </w:r>
      <w:r>
        <w:rPr>
          <w:rFonts w:hint="eastAsia" w:ascii="方正仿宋_GBK" w:hAnsi="方正仿宋_GBK" w:eastAsia="方正仿宋_GBK" w:cs="方正仿宋_GBK"/>
          <w:color w:val="000000"/>
          <w:spacing w:val="0"/>
          <w:sz w:val="32"/>
          <w:szCs w:val="32"/>
          <w:lang w:eastAsia="zh-CN"/>
        </w:rPr>
        <w:t>加强对养老服务评估机构的监管。严格末端监督执法，依法依规加强对有关培训评价组织和职业技能</w:t>
      </w:r>
      <w:r>
        <w:rPr>
          <w:rFonts w:hint="eastAsia" w:ascii="方正仿宋_GBK" w:hAnsi="方正仿宋_GBK" w:eastAsia="方正仿宋_GBK" w:cs="方正仿宋_GBK"/>
          <w:color w:val="000000"/>
          <w:spacing w:val="0"/>
          <w:sz w:val="32"/>
          <w:szCs w:val="32"/>
        </w:rPr>
        <w:t>证书</w:t>
      </w:r>
      <w:r>
        <w:rPr>
          <w:rFonts w:hint="eastAsia" w:ascii="方正仿宋_GBK" w:hAnsi="方正仿宋_GBK" w:eastAsia="方正仿宋_GBK" w:cs="方正仿宋_GBK"/>
          <w:color w:val="000000"/>
          <w:spacing w:val="0"/>
          <w:sz w:val="32"/>
          <w:szCs w:val="32"/>
          <w:lang w:eastAsia="zh-CN"/>
        </w:rPr>
        <w:t>发放机构的监督管理</w:t>
      </w:r>
      <w:r>
        <w:rPr>
          <w:rFonts w:hint="eastAsia" w:ascii="方正仿宋_GBK" w:hAnsi="方正仿宋_GBK" w:eastAsia="方正仿宋_GBK" w:cs="方正仿宋_GBK"/>
          <w:color w:val="000000"/>
          <w:spacing w:val="0"/>
          <w:sz w:val="32"/>
          <w:szCs w:val="32"/>
        </w:rPr>
        <w:t>，确保</w:t>
      </w:r>
      <w:r>
        <w:rPr>
          <w:rFonts w:hint="eastAsia" w:ascii="方正仿宋_GBK" w:hAnsi="方正仿宋_GBK" w:eastAsia="方正仿宋_GBK" w:cs="方正仿宋_GBK"/>
          <w:color w:val="000000"/>
          <w:spacing w:val="0"/>
          <w:sz w:val="32"/>
          <w:szCs w:val="32"/>
          <w:lang w:eastAsia="zh-CN"/>
        </w:rPr>
        <w:t>培训</w:t>
      </w:r>
      <w:r>
        <w:rPr>
          <w:rFonts w:hint="eastAsia" w:ascii="方正仿宋_GBK" w:hAnsi="方正仿宋_GBK" w:eastAsia="方正仿宋_GBK" w:cs="方正仿宋_GBK"/>
          <w:color w:val="000000"/>
          <w:spacing w:val="0"/>
          <w:sz w:val="32"/>
          <w:szCs w:val="32"/>
        </w:rPr>
        <w:t>评价质量和效果</w:t>
      </w:r>
      <w:r>
        <w:rPr>
          <w:rFonts w:hint="eastAsia" w:ascii="方正仿宋_GBK" w:hAnsi="方正仿宋_GBK" w:eastAsia="方正仿宋_GBK" w:cs="方正仿宋_GBK"/>
          <w:color w:val="000000"/>
          <w:spacing w:val="0"/>
          <w:sz w:val="32"/>
          <w:szCs w:val="32"/>
          <w:lang w:eastAsia="zh-CN"/>
        </w:rPr>
        <w:t>，防止出现乱评估、乱培训、滥发证现象。</w:t>
      </w:r>
    </w:p>
    <w:p>
      <w:pPr>
        <w:pStyle w:val="6"/>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000000"/>
          <w:spacing w:val="0"/>
          <w:sz w:val="32"/>
          <w:szCs w:val="32"/>
          <w:lang w:eastAsia="zh-CN"/>
        </w:rPr>
      </w:pPr>
      <w:r>
        <w:rPr>
          <w:rFonts w:hint="eastAsia" w:ascii="方正楷体_GBK" w:hAnsi="方正楷体_GBK" w:eastAsia="方正楷体_GBK" w:cs="方正楷体_GBK"/>
          <w:color w:val="000000"/>
          <w:sz w:val="32"/>
          <w:szCs w:val="32"/>
          <w:lang w:val="en-US" w:eastAsia="zh-CN"/>
        </w:rPr>
        <w:t>（五）</w:t>
      </w:r>
      <w:r>
        <w:rPr>
          <w:rFonts w:hint="eastAsia" w:ascii="方正楷体_GBK" w:hAnsi="方正楷体_GBK" w:eastAsia="方正楷体_GBK" w:cs="方正楷体_GBK"/>
          <w:color w:val="000000"/>
          <w:sz w:val="32"/>
          <w:szCs w:val="32"/>
        </w:rPr>
        <w:t>加强</w:t>
      </w:r>
      <w:r>
        <w:rPr>
          <w:rFonts w:hint="eastAsia" w:ascii="方正楷体_GBK" w:hAnsi="方正楷体_GBK" w:eastAsia="方正楷体_GBK" w:cs="方正楷体_GBK"/>
          <w:color w:val="000000"/>
          <w:sz w:val="32"/>
          <w:szCs w:val="32"/>
          <w:lang w:eastAsia="zh-CN"/>
        </w:rPr>
        <w:t>财政项目</w:t>
      </w:r>
      <w:r>
        <w:rPr>
          <w:rFonts w:hint="eastAsia" w:ascii="方正楷体_GBK" w:hAnsi="方正楷体_GBK" w:eastAsia="方正楷体_GBK" w:cs="方正楷体_GBK"/>
          <w:color w:val="000000"/>
          <w:sz w:val="32"/>
          <w:szCs w:val="32"/>
        </w:rPr>
        <w:t>资金监管。</w:t>
      </w:r>
      <w:r>
        <w:rPr>
          <w:rFonts w:hint="eastAsia" w:ascii="方正仿宋_GBK" w:hAnsi="方正仿宋_GBK" w:eastAsia="方正仿宋_GBK" w:cs="方正仿宋_GBK"/>
          <w:color w:val="000000"/>
          <w:sz w:val="32"/>
          <w:szCs w:val="32"/>
        </w:rPr>
        <w:t>引导养老服务机构以合法合规方式筹集和使用养老服务涉及资金。</w:t>
      </w:r>
      <w:r>
        <w:rPr>
          <w:rFonts w:hint="eastAsia" w:ascii="方正仿宋_GBK" w:hAnsi="方正仿宋_GBK" w:eastAsia="方正仿宋_GBK" w:cs="方正仿宋_GBK"/>
          <w:color w:val="000000"/>
          <w:sz w:val="32"/>
          <w:szCs w:val="32"/>
          <w:lang w:val="en-US" w:eastAsia="zh-CN"/>
        </w:rPr>
        <w:t>强化对涉及使用财政资金的养老重点建设项目、补贴资金、购买养老服务、养老服务机构医保基金等的监督管理。</w:t>
      </w:r>
      <w:r>
        <w:rPr>
          <w:rFonts w:hint="eastAsia" w:ascii="方正仿宋_GBK" w:hAnsi="方正仿宋_GBK" w:eastAsia="方正仿宋_GBK" w:cs="方正仿宋_GBK"/>
          <w:color w:val="000000"/>
          <w:spacing w:val="0"/>
          <w:sz w:val="32"/>
          <w:szCs w:val="32"/>
          <w:lang w:eastAsia="zh-CN"/>
        </w:rPr>
        <w:t>将养老服务机构申领使用政府提供的建设运营、责任保险等补贴资金纳入养老服务机构信息管理系统管理。依托大数据、</w:t>
      </w:r>
      <w:r>
        <w:rPr>
          <w:rFonts w:hint="eastAsia" w:ascii="方正仿宋_GBK" w:hAnsi="方正仿宋_GBK" w:eastAsia="方正仿宋_GBK" w:cs="方正仿宋_GBK"/>
          <w:color w:val="000000"/>
          <w:sz w:val="32"/>
          <w:szCs w:val="32"/>
          <w:lang w:val="en-US" w:eastAsia="zh-CN"/>
        </w:rPr>
        <w:t>第三方绩效评价、审计等方式，确保财政资金使用合规和管理安全。</w:t>
      </w:r>
      <w:r>
        <w:rPr>
          <w:rFonts w:hint="eastAsia" w:ascii="方正仿宋_GBK" w:hAnsi="方正仿宋_GBK" w:eastAsia="方正仿宋_GBK" w:cs="方正仿宋_GBK"/>
          <w:color w:val="000000"/>
          <w:spacing w:val="0"/>
          <w:sz w:val="32"/>
          <w:szCs w:val="32"/>
          <w:lang w:eastAsia="zh-CN"/>
        </w:rPr>
        <w:t>对存在骗取政府补贴资金情形的养老服务机构，要全额追回骗取的补贴资金，同时依法依规严厉处罚。</w:t>
      </w:r>
    </w:p>
    <w:p>
      <w:pPr>
        <w:pStyle w:val="6"/>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000000"/>
          <w:sz w:val="32"/>
          <w:szCs w:val="32"/>
          <w:lang w:eastAsia="zh-CN"/>
        </w:rPr>
      </w:pPr>
      <w:r>
        <w:rPr>
          <w:rFonts w:hint="eastAsia" w:ascii="方正楷体_GBK" w:hAnsi="方正楷体_GBK" w:eastAsia="方正楷体_GBK" w:cs="方正楷体_GBK"/>
          <w:color w:val="000000"/>
          <w:sz w:val="32"/>
          <w:szCs w:val="32"/>
          <w:lang w:eastAsia="zh-CN"/>
        </w:rPr>
        <w:t>（六）加强内部收费和非法集资监管。</w:t>
      </w:r>
      <w:r>
        <w:rPr>
          <w:rFonts w:hint="eastAsia" w:ascii="方正仿宋_GBK" w:hAnsi="方正仿宋_GBK" w:eastAsia="方正仿宋_GBK" w:cs="方正仿宋_GBK"/>
          <w:color w:val="000000"/>
          <w:sz w:val="32"/>
          <w:szCs w:val="32"/>
          <w:lang w:eastAsia="zh-CN"/>
        </w:rPr>
        <w:t>加强对养老服务机构预收服务费用管理，原则上床位、护理、伙食等费用按月收取。加大对金融机构养老服务领域金融产品的监管力度。组织开展以养老服务名义进行非法集资的风险排查活动，加强政策宣传和风险提示，向社会公布投诉举报热线，及时受理处置有关线索，坚决防范和依法打击养老服务机构以养老服务名义进行的非法集资活动。</w:t>
      </w:r>
    </w:p>
    <w:p>
      <w:pPr>
        <w:pStyle w:val="6"/>
        <w:keepNext w:val="0"/>
        <w:keepLines w:val="0"/>
        <w:pageBreakBefore w:val="0"/>
        <w:widowControl w:val="0"/>
        <w:numPr>
          <w:ilvl w:val="0"/>
          <w:numId w:val="0"/>
        </w:numPr>
        <w:suppressLineNumbers w:val="0"/>
        <w:kinsoku/>
        <w:wordWrap/>
        <w:overflowPunct/>
        <w:topLinePunct/>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lang w:eastAsia="zh-CN"/>
        </w:rPr>
      </w:pPr>
      <w:r>
        <w:rPr>
          <w:rFonts w:hint="eastAsia" w:ascii="方正楷体_GBK" w:hAnsi="方正楷体_GBK" w:eastAsia="方正楷体_GBK" w:cs="方正楷体_GBK"/>
          <w:color w:val="000000"/>
          <w:sz w:val="32"/>
          <w:szCs w:val="32"/>
          <w:lang w:eastAsia="zh-CN"/>
        </w:rPr>
        <w:t>（七）</w:t>
      </w:r>
      <w:r>
        <w:rPr>
          <w:rFonts w:hint="eastAsia" w:ascii="方正楷体_GBK" w:hAnsi="方正楷体_GBK" w:eastAsia="方正楷体_GBK" w:cs="方正楷体_GBK"/>
          <w:color w:val="000000"/>
          <w:sz w:val="32"/>
          <w:szCs w:val="32"/>
        </w:rPr>
        <w:t>加强运营秩序监管。</w:t>
      </w:r>
      <w:r>
        <w:rPr>
          <w:rFonts w:hint="eastAsia" w:ascii="方正仿宋_GBK" w:hAnsi="方正仿宋_GBK" w:eastAsia="方正仿宋_GBK" w:cs="方正仿宋_GBK"/>
          <w:color w:val="000000"/>
          <w:sz w:val="32"/>
          <w:szCs w:val="32"/>
          <w:lang w:eastAsia="zh-CN"/>
        </w:rPr>
        <w:t>持续巩固养老院服务质量提升专项行动成果，加快推进《养老机构服务安全基本规范》强制性国家标准达标工作，确保到2022年全区养老机构全部达标。督促指导养老服务机构加强内部管理，在出入口、接待大厅、值班室、楼道、食堂等公共场所安装视频监控。健全内部管理档案，妥善保管紧急呼叫记录、异常事件报告、值班记录、交接班记录、视频监控记录等原始资料</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加强日常巡查和护理，防止因护理不到位发生的褥疮、跌伤、烫伤等事故。</w:t>
      </w:r>
      <w:r>
        <w:rPr>
          <w:rFonts w:hint="eastAsia" w:ascii="方正仿宋_GBK" w:hAnsi="方正仿宋_GBK" w:eastAsia="方正仿宋_GBK" w:cs="方正仿宋_GBK"/>
          <w:color w:val="auto"/>
          <w:sz w:val="32"/>
          <w:szCs w:val="32"/>
          <w:lang w:eastAsia="zh-CN"/>
        </w:rPr>
        <w:t>完善医养结合和养老服务机构医疗、护理、康复及安宁疗护服务运营管理。养老服务机构要采取养教结合、线上线下相结合等方式开展老年教育，提升老年人生活品质。</w:t>
      </w:r>
    </w:p>
    <w:p>
      <w:pPr>
        <w:pStyle w:val="6"/>
        <w:keepNext w:val="0"/>
        <w:keepLines w:val="0"/>
        <w:pageBreakBefore w:val="0"/>
        <w:widowControl w:val="0"/>
        <w:numPr>
          <w:ilvl w:val="0"/>
          <w:numId w:val="0"/>
        </w:numPr>
        <w:suppressLineNumbers w:val="0"/>
        <w:kinsoku/>
        <w:wordWrap/>
        <w:overflowPunct/>
        <w:topLinePunct/>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000000"/>
          <w:sz w:val="32"/>
          <w:szCs w:val="32"/>
          <w:lang w:eastAsia="zh-CN"/>
        </w:rPr>
      </w:pPr>
      <w:r>
        <w:rPr>
          <w:rFonts w:hint="eastAsia" w:ascii="方正楷体_GBK" w:hAnsi="方正楷体_GBK" w:eastAsia="方正楷体_GBK" w:cs="方正楷体_GBK"/>
          <w:color w:val="000000"/>
          <w:sz w:val="32"/>
          <w:szCs w:val="32"/>
          <w:lang w:eastAsia="zh-CN"/>
        </w:rPr>
        <w:t>（八）加强纠纷协商调解。</w:t>
      </w:r>
      <w:r>
        <w:rPr>
          <w:rFonts w:hint="eastAsia" w:ascii="方正仿宋_GBK" w:hAnsi="方正仿宋_GBK" w:eastAsia="方正仿宋_GBK" w:cs="方正仿宋_GBK"/>
          <w:color w:val="000000"/>
          <w:sz w:val="32"/>
          <w:szCs w:val="32"/>
          <w:lang w:eastAsia="zh-CN"/>
        </w:rPr>
        <w:t>指导养老服务机构压实安全主体责任，加强从业人员安全教育、法治教育、心理健康教育，从源头上消除服务安全风险，最大限度预防纠纷发生。建立纠纷协商调解机制，推动养老服务机构内部建立接待和处理老年人投诉建议的专门部门、人员和渠道，通过“开通一条热线、设置一个信箱，指定一个专员”等调解方式，引导当事人通过自愿协商化解纠纷，依法维护养老服务机构和老年人的合法权益。</w:t>
      </w:r>
    </w:p>
    <w:p>
      <w:pPr>
        <w:pStyle w:val="6"/>
        <w:keepNext w:val="0"/>
        <w:keepLines w:val="0"/>
        <w:pageBreakBefore w:val="0"/>
        <w:widowControl w:val="0"/>
        <w:numPr>
          <w:ilvl w:val="0"/>
          <w:numId w:val="0"/>
        </w:numPr>
        <w:suppressLineNumbers w:val="0"/>
        <w:kinsoku/>
        <w:wordWrap/>
        <w:overflowPunct/>
        <w:topLinePunct/>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lang w:eastAsia="zh-CN"/>
        </w:rPr>
      </w:pPr>
      <w:r>
        <w:rPr>
          <w:rFonts w:hint="eastAsia" w:ascii="方正楷体_GBK" w:hAnsi="方正楷体_GBK" w:eastAsia="方正楷体_GBK" w:cs="方正楷体_GBK"/>
          <w:color w:val="000000"/>
          <w:sz w:val="32"/>
          <w:szCs w:val="32"/>
          <w:lang w:eastAsia="zh-CN"/>
        </w:rPr>
        <w:t>（九）加大对违规经营查处力度。</w:t>
      </w:r>
      <w:r>
        <w:rPr>
          <w:rFonts w:hint="eastAsia" w:ascii="方正仿宋_GBK" w:hAnsi="方正仿宋_GBK" w:eastAsia="方正仿宋_GBK" w:cs="方正仿宋_GBK"/>
          <w:color w:val="auto"/>
          <w:sz w:val="32"/>
          <w:szCs w:val="32"/>
          <w:lang w:eastAsia="zh-CN"/>
        </w:rPr>
        <w:t>依法打击无证无照从事养老服务的行为，对未依法取得营业执照以市场主体名义从事养老服务活动的，按照《无证无照经营查处办法》有关规定查处；对未经登记擅自以社会服务机构名义开展养老服务活动的，由民政部门依法查处。加强对民办非营利性养老服务机构退出财产处置的监管，防止因关联关系、利益输送、内部人控制等造成财产转移。</w:t>
      </w:r>
    </w:p>
    <w:p>
      <w:pPr>
        <w:pStyle w:val="6"/>
        <w:keepNext w:val="0"/>
        <w:keepLines w:val="0"/>
        <w:pageBreakBefore w:val="0"/>
        <w:widowControl w:val="0"/>
        <w:numPr>
          <w:ilvl w:val="0"/>
          <w:numId w:val="0"/>
        </w:numPr>
        <w:suppressLineNumbers w:val="0"/>
        <w:kinsoku/>
        <w:wordWrap/>
        <w:overflowPunct/>
        <w:topLinePunct/>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lang w:eastAsia="zh-CN"/>
        </w:rPr>
      </w:pPr>
      <w:r>
        <w:rPr>
          <w:rFonts w:hint="eastAsia" w:ascii="方正楷体_GBK" w:hAnsi="方正楷体_GBK" w:eastAsia="方正楷体_GBK" w:cs="方正楷体_GBK"/>
          <w:color w:val="auto"/>
          <w:sz w:val="32"/>
          <w:szCs w:val="32"/>
          <w:lang w:eastAsia="zh-CN"/>
        </w:rPr>
        <w:t>（十）加强养老服务设施用地监管。</w:t>
      </w:r>
      <w:r>
        <w:rPr>
          <w:rFonts w:hint="eastAsia" w:ascii="方正仿宋_GBK" w:hAnsi="方正仿宋_GBK" w:eastAsia="方正仿宋_GBK" w:cs="方正仿宋_GBK"/>
          <w:color w:val="000000"/>
          <w:sz w:val="32"/>
          <w:szCs w:val="32"/>
          <w:lang w:eastAsia="zh-CN"/>
        </w:rPr>
        <w:t>严禁利用养老服务机构设施和场地开展与养老服务无关的活动，依法查处向老年人欺诈销售各类产品和服务的违法行为。</w:t>
      </w:r>
      <w:r>
        <w:rPr>
          <w:rFonts w:hint="eastAsia" w:ascii="方正仿宋_GBK" w:hAnsi="方正仿宋_GBK" w:eastAsia="方正仿宋_GBK" w:cs="方正仿宋_GBK"/>
          <w:color w:val="auto"/>
          <w:sz w:val="32"/>
          <w:szCs w:val="32"/>
          <w:lang w:eastAsia="zh-CN"/>
        </w:rPr>
        <w:t>依法查处养老服务设施用地单位未经批准改变规划确定的土地用途，以及非营利性养老服务机构擅自转让、出租、抵押划拨土地使用权的行为。</w:t>
      </w:r>
    </w:p>
    <w:p>
      <w:pPr>
        <w:pStyle w:val="6"/>
        <w:keepNext w:val="0"/>
        <w:keepLines w:val="0"/>
        <w:pageBreakBefore w:val="0"/>
        <w:widowControl w:val="0"/>
        <w:numPr>
          <w:ilvl w:val="0"/>
          <w:numId w:val="0"/>
        </w:numPr>
        <w:suppressLineNumbers w:val="0"/>
        <w:kinsoku/>
        <w:wordWrap/>
        <w:overflowPunct/>
        <w:topLinePunct/>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000000"/>
          <w:sz w:val="32"/>
          <w:szCs w:val="32"/>
          <w:lang w:val="en-US" w:eastAsia="zh-CN"/>
        </w:rPr>
      </w:pPr>
      <w:r>
        <w:rPr>
          <w:rFonts w:hint="eastAsia" w:ascii="方正楷体_GBK" w:hAnsi="方正楷体_GBK" w:eastAsia="方正楷体_GBK" w:cs="方正楷体_GBK"/>
          <w:color w:val="000000"/>
          <w:sz w:val="32"/>
          <w:szCs w:val="32"/>
          <w:lang w:eastAsia="zh-CN"/>
        </w:rPr>
        <w:t>（十一）</w:t>
      </w:r>
      <w:r>
        <w:rPr>
          <w:rFonts w:hint="eastAsia" w:ascii="方正楷体_GBK" w:hAnsi="方正楷体_GBK" w:eastAsia="方正楷体_GBK" w:cs="方正楷体_GBK"/>
          <w:color w:val="000000"/>
          <w:sz w:val="32"/>
          <w:szCs w:val="32"/>
        </w:rPr>
        <w:t>加强突发事件应对。</w:t>
      </w:r>
      <w:r>
        <w:rPr>
          <w:rFonts w:hint="eastAsia" w:ascii="方正仿宋_GBK" w:hAnsi="方正仿宋_GBK" w:eastAsia="方正仿宋_GBK" w:cs="方正仿宋_GBK"/>
          <w:color w:val="000000"/>
          <w:sz w:val="32"/>
          <w:szCs w:val="32"/>
          <w:lang w:val="en-US" w:eastAsia="zh-CN"/>
        </w:rPr>
        <w:t>督促指导养老服务机构抓紧完善应急准备、预警处置、救援恢复等工作机制，依法制定</w:t>
      </w:r>
      <w:r>
        <w:rPr>
          <w:rFonts w:hint="eastAsia" w:ascii="方正仿宋_GBK" w:hAnsi="方正仿宋_GBK" w:eastAsia="方正仿宋_GBK" w:cs="方正仿宋_GBK"/>
          <w:color w:val="000000"/>
          <w:sz w:val="32"/>
          <w:szCs w:val="32"/>
        </w:rPr>
        <w:t>自然灾害、事故灾难、公共卫生事件等突发事件</w:t>
      </w:r>
      <w:r>
        <w:rPr>
          <w:rFonts w:hint="eastAsia" w:ascii="方正仿宋_GBK" w:hAnsi="方正仿宋_GBK" w:eastAsia="方正仿宋_GBK" w:cs="方正仿宋_GBK"/>
          <w:color w:val="000000"/>
          <w:sz w:val="32"/>
          <w:szCs w:val="32"/>
          <w:lang w:eastAsia="zh-CN"/>
        </w:rPr>
        <w:t>应急</w:t>
      </w:r>
      <w:r>
        <w:rPr>
          <w:rFonts w:hint="eastAsia" w:ascii="方正仿宋_GBK" w:hAnsi="方正仿宋_GBK" w:eastAsia="方正仿宋_GBK" w:cs="方正仿宋_GBK"/>
          <w:color w:val="000000"/>
          <w:sz w:val="32"/>
          <w:szCs w:val="32"/>
          <w:lang w:val="en-US" w:eastAsia="zh-CN"/>
        </w:rPr>
        <w:t>处置预案，配备必要的报警装置和应急救援设备。加强应急知识宣传普及工作。养老服务机构每年至少组织开展1次针对事故灾难、公共卫生事件等突发事件应急演练，切实提高应急处置能力。</w:t>
      </w:r>
    </w:p>
    <w:p>
      <w:pPr>
        <w:pStyle w:val="6"/>
        <w:keepNext w:val="0"/>
        <w:keepLines w:val="0"/>
        <w:pageBreakBefore w:val="0"/>
        <w:widowControl w:val="0"/>
        <w:numPr>
          <w:ilvl w:val="0"/>
          <w:numId w:val="0"/>
        </w:numPr>
        <w:suppressLineNumbers w:val="0"/>
        <w:kinsoku/>
        <w:wordWrap/>
        <w:overflowPunct/>
        <w:topLinePunct/>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FF0000"/>
          <w:sz w:val="32"/>
          <w:szCs w:val="32"/>
          <w:lang w:val="en-US" w:eastAsia="zh-CN"/>
        </w:rPr>
      </w:pPr>
      <w:r>
        <w:rPr>
          <w:rFonts w:hint="eastAsia" w:ascii="方正楷体_GBK" w:hAnsi="方正楷体_GBK" w:eastAsia="方正楷体_GBK" w:cs="方正楷体_GBK"/>
          <w:color w:val="000000"/>
          <w:sz w:val="32"/>
          <w:szCs w:val="32"/>
          <w:lang w:val="en-US" w:eastAsia="zh-CN"/>
        </w:rPr>
        <w:t>（十二）加强传</w:t>
      </w:r>
      <w:r>
        <w:rPr>
          <w:rFonts w:hint="eastAsia" w:ascii="方正楷体_GBK" w:hAnsi="方正楷体_GBK" w:eastAsia="方正楷体_GBK" w:cs="方正楷体_GBK"/>
          <w:color w:val="000000"/>
          <w:sz w:val="32"/>
          <w:szCs w:val="32"/>
          <w:lang w:eastAsia="zh-CN"/>
        </w:rPr>
        <w:t>染病疫情防控监管。</w:t>
      </w:r>
      <w:r>
        <w:rPr>
          <w:rFonts w:hint="eastAsia" w:ascii="方正仿宋_GBK" w:hAnsi="方正仿宋_GBK" w:eastAsia="方正仿宋_GBK" w:cs="方正仿宋_GBK"/>
          <w:color w:val="000000"/>
          <w:sz w:val="32"/>
          <w:szCs w:val="32"/>
          <w:lang w:eastAsia="zh-CN"/>
        </w:rPr>
        <w:t>督促指导养老服务机构全面落实传染病疫情防控要求，坚持预防为主，指导老年人做好个人防护。养老服务机构发生或可能发生传染病暴发或者流行、不明原因的群体性疾病、重大食物中毒事件的，应向所在地旗县（市、区）卫生健康主管部门、疾病预防控制机构和民政部门报告，并在有关部门和机构指导下采取卫生处理、隔离等预防控制措施。全面落实养老服务机构疫情常态化防控措施，进一步压实“四方责任”，确保老年人身体健康和生命安全。</w:t>
      </w:r>
      <w:r>
        <w:rPr>
          <w:rFonts w:hint="eastAsia" w:ascii="方正仿宋_GBK" w:hAnsi="方正仿宋_GBK" w:eastAsia="方正仿宋_GBK" w:cs="方正仿宋_GBK"/>
          <w:color w:val="auto"/>
          <w:sz w:val="32"/>
          <w:szCs w:val="32"/>
          <w:lang w:val="en-US" w:eastAsia="zh-CN"/>
        </w:rPr>
        <w:t>严格遵守食品安全操作规范和标准，采取有效措施预防和控制食品安全风险。</w:t>
      </w:r>
    </w:p>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outlineLvl w:val="9"/>
        <w:rPr>
          <w:rFonts w:hint="eastAsia" w:ascii="方正黑体_GBK" w:hAnsi="方正黑体_GBK" w:eastAsia="方正黑体_GBK" w:cs="方正黑体_GBK"/>
          <w:color w:val="000000"/>
          <w:sz w:val="32"/>
          <w:szCs w:val="32"/>
          <w:lang w:eastAsia="zh-CN"/>
        </w:rPr>
      </w:pPr>
      <w:r>
        <w:rPr>
          <w:rFonts w:hint="eastAsia" w:ascii="方正黑体_GBK" w:hAnsi="方正黑体_GBK" w:eastAsia="方正黑体_GBK" w:cs="方正黑体_GBK"/>
          <w:color w:val="000000"/>
          <w:sz w:val="32"/>
          <w:szCs w:val="32"/>
          <w:lang w:eastAsia="zh-CN"/>
        </w:rPr>
        <w:t>三、全面落实监管责任</w:t>
      </w:r>
    </w:p>
    <w:p>
      <w:pPr>
        <w:keepNext w:val="0"/>
        <w:keepLines w:val="0"/>
        <w:pageBreakBefore w:val="0"/>
        <w:widowControl w:val="0"/>
        <w:kinsoku/>
        <w:wordWrap/>
        <w:overflowPunct/>
        <w:topLinePunct w:val="0"/>
        <w:autoSpaceDE/>
        <w:autoSpaceDN/>
        <w:bidi w:val="0"/>
        <w:adjustRightInd/>
        <w:snapToGrid/>
        <w:spacing w:line="580" w:lineRule="exact"/>
        <w:ind w:left="-2" w:leftChars="-66" w:right="0" w:rightChars="0" w:hanging="137" w:hangingChars="43"/>
        <w:jc w:val="both"/>
        <w:textAlignment w:val="auto"/>
        <w:outlineLvl w:val="9"/>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 xml:space="preserve">    </w:t>
      </w:r>
      <w:r>
        <w:rPr>
          <w:rFonts w:hint="eastAsia" w:ascii="方正楷体_GBK" w:hAnsi="方正楷体_GBK" w:eastAsia="方正楷体_GBK" w:cs="方正楷体_GBK"/>
          <w:color w:val="000000"/>
          <w:sz w:val="32"/>
          <w:szCs w:val="32"/>
          <w:lang w:val="en-US" w:eastAsia="zh-CN"/>
        </w:rPr>
        <w:t>（十三）强化政府主导责任。</w:t>
      </w:r>
      <w:r>
        <w:rPr>
          <w:rFonts w:hint="eastAsia" w:ascii="方正仿宋_GBK" w:hAnsi="方正仿宋_GBK" w:eastAsia="方正仿宋_GBK" w:cs="方正仿宋_GBK"/>
          <w:color w:val="000000"/>
          <w:sz w:val="32"/>
          <w:szCs w:val="32"/>
          <w:lang w:val="en-US" w:eastAsia="zh-CN"/>
        </w:rPr>
        <w:t>各有关</w:t>
      </w:r>
      <w:r>
        <w:rPr>
          <w:rFonts w:hint="eastAsia" w:ascii="方正仿宋_GBK" w:hAnsi="方正仿宋_GBK" w:eastAsia="方正仿宋_GBK" w:cs="方正仿宋_GBK"/>
          <w:color w:val="000000"/>
          <w:sz w:val="32"/>
          <w:szCs w:val="32"/>
          <w:lang w:eastAsia="zh-CN"/>
        </w:rPr>
        <w:t>部门要根据职责分工，依法依规履行对养老服务机构的业务指导和监管职责，</w:t>
      </w:r>
      <w:r>
        <w:rPr>
          <w:rFonts w:hint="eastAsia" w:ascii="方正仿宋_GBK" w:hAnsi="方正仿宋_GBK" w:eastAsia="方正仿宋_GBK" w:cs="方正仿宋_GBK"/>
          <w:color w:val="000000"/>
          <w:sz w:val="32"/>
          <w:szCs w:val="32"/>
          <w:lang w:val="en-US" w:eastAsia="zh-CN"/>
        </w:rPr>
        <w:t>制定养老服务机构部门监管清单，</w:t>
      </w:r>
      <w:r>
        <w:rPr>
          <w:rFonts w:hint="eastAsia" w:ascii="方正仿宋_GBK" w:hAnsi="方正仿宋_GBK" w:eastAsia="方正仿宋_GBK" w:cs="方正仿宋_GBK"/>
          <w:color w:val="000000"/>
          <w:sz w:val="32"/>
          <w:szCs w:val="32"/>
        </w:rPr>
        <w:t>明确监管事项、监管措施、监管依据、监管流程</w:t>
      </w:r>
      <w:r>
        <w:rPr>
          <w:rFonts w:hint="eastAsia" w:ascii="方正仿宋_GBK" w:hAnsi="方正仿宋_GBK" w:eastAsia="方正仿宋_GBK" w:cs="方正仿宋_GBK"/>
          <w:color w:val="000000"/>
          <w:sz w:val="32"/>
          <w:szCs w:val="32"/>
          <w:lang w:eastAsia="zh-CN"/>
        </w:rPr>
        <w:t>，实行清单式监管，监管结果要及时向社会公开。</w:t>
      </w:r>
    </w:p>
    <w:p>
      <w:pPr>
        <w:pStyle w:val="6"/>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000000"/>
          <w:kern w:val="0"/>
          <w:sz w:val="32"/>
          <w:szCs w:val="32"/>
          <w:lang w:val="en-US" w:eastAsia="zh-CN" w:bidi="ar"/>
        </w:rPr>
      </w:pPr>
      <w:r>
        <w:rPr>
          <w:rFonts w:hint="eastAsia" w:ascii="方正楷体_GBK" w:hAnsi="方正楷体_GBK" w:eastAsia="方正楷体_GBK" w:cs="方正楷体_GBK"/>
          <w:color w:val="000000"/>
          <w:sz w:val="32"/>
          <w:szCs w:val="32"/>
          <w:lang w:val="en-US" w:eastAsia="zh-CN"/>
        </w:rPr>
        <w:t>（十四）压实机构主体责任。</w:t>
      </w:r>
      <w:r>
        <w:rPr>
          <w:rFonts w:hint="eastAsia" w:ascii="方正仿宋_GBK" w:hAnsi="方正仿宋_GBK" w:eastAsia="方正仿宋_GBK" w:cs="方正仿宋_GBK"/>
          <w:color w:val="000000"/>
          <w:kern w:val="0"/>
          <w:sz w:val="32"/>
          <w:szCs w:val="32"/>
          <w:lang w:val="en-US" w:eastAsia="zh-CN" w:bidi="ar"/>
        </w:rPr>
        <w:t>充分发挥党建引领作用，指导符合条件的养老服务机构按照应建尽建的原则抓紧建立党组织，力争到2021年底符合条件的养老服务机构全部建立。</w:t>
      </w:r>
      <w:r>
        <w:rPr>
          <w:rFonts w:hint="eastAsia" w:ascii="方正仿宋_GBK" w:hAnsi="方正仿宋_GBK" w:eastAsia="方正仿宋_GBK" w:cs="方正仿宋_GBK"/>
          <w:color w:val="000000"/>
          <w:sz w:val="32"/>
          <w:szCs w:val="32"/>
          <w:lang w:eastAsia="zh-CN"/>
        </w:rPr>
        <w:t>通过随机抽查、电话随访、书面告知等方式，</w:t>
      </w:r>
      <w:r>
        <w:rPr>
          <w:rFonts w:hint="eastAsia" w:ascii="方正仿宋_GBK" w:hAnsi="方正仿宋_GBK" w:eastAsia="方正仿宋_GBK" w:cs="方正仿宋_GBK"/>
          <w:color w:val="000000"/>
          <w:kern w:val="0"/>
          <w:sz w:val="32"/>
          <w:szCs w:val="32"/>
          <w:lang w:val="en-US" w:eastAsia="zh-CN" w:bidi="ar"/>
        </w:rPr>
        <w:t>指导养老服务机构全面落实依法登记、备案承诺、履行服务、质量安全、应急管理、消防安全等主体责任，</w:t>
      </w:r>
      <w:r>
        <w:rPr>
          <w:rFonts w:hint="eastAsia" w:ascii="方正仿宋_GBK" w:hAnsi="方正仿宋_GBK" w:eastAsia="方正仿宋_GBK" w:cs="方正仿宋_GBK"/>
          <w:color w:val="000000"/>
          <w:sz w:val="32"/>
          <w:szCs w:val="32"/>
          <w:lang w:val="en-US" w:eastAsia="zh-CN"/>
        </w:rPr>
        <w:t>组织开展安全隐患自查，及时消除风险隐患，</w:t>
      </w:r>
      <w:r>
        <w:rPr>
          <w:rFonts w:hint="eastAsia" w:ascii="方正仿宋_GBK" w:hAnsi="方正仿宋_GBK" w:eastAsia="方正仿宋_GBK" w:cs="方正仿宋_GBK"/>
          <w:color w:val="000000"/>
          <w:kern w:val="0"/>
          <w:sz w:val="32"/>
          <w:szCs w:val="32"/>
          <w:lang w:val="en-US" w:eastAsia="zh-CN" w:bidi="ar"/>
        </w:rPr>
        <w:t xml:space="preserve">不断提高养老服务机构管理服务水平。 </w:t>
      </w:r>
    </w:p>
    <w:p>
      <w:pPr>
        <w:keepNext w:val="0"/>
        <w:keepLines w:val="0"/>
        <w:pageBreakBefore w:val="0"/>
        <w:widowControl w:val="0"/>
        <w:numPr>
          <w:ilvl w:val="0"/>
          <w:numId w:val="0"/>
        </w:numPr>
        <w:kinsoku/>
        <w:wordWrap/>
        <w:overflowPunct/>
        <w:topLinePunct/>
        <w:autoSpaceDE/>
        <w:autoSpaceDN/>
        <w:bidi w:val="0"/>
        <w:adjustRightInd/>
        <w:snapToGrid/>
        <w:spacing w:line="58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000000"/>
          <w:kern w:val="0"/>
          <w:sz w:val="32"/>
          <w:szCs w:val="32"/>
          <w:lang w:val="en-US" w:eastAsia="zh-CN" w:bidi="ar"/>
        </w:rPr>
      </w:pPr>
      <w:r>
        <w:rPr>
          <w:rFonts w:hint="eastAsia" w:ascii="方正楷体_GBK" w:hAnsi="方正楷体_GBK" w:eastAsia="方正楷体_GBK" w:cs="方正楷体_GBK"/>
          <w:color w:val="000000"/>
          <w:sz w:val="32"/>
          <w:szCs w:val="32"/>
          <w:lang w:val="en-US" w:eastAsia="zh-CN"/>
        </w:rPr>
        <w:t>（十五）强化行业自律。</w:t>
      </w:r>
      <w:r>
        <w:rPr>
          <w:rFonts w:hint="eastAsia" w:ascii="方正仿宋_GBK" w:hAnsi="方正仿宋_GBK" w:eastAsia="方正仿宋_GBK" w:cs="方正仿宋_GBK"/>
          <w:color w:val="000000"/>
          <w:kern w:val="0"/>
          <w:sz w:val="32"/>
          <w:szCs w:val="32"/>
          <w:lang w:val="en-US" w:eastAsia="zh-CN" w:bidi="ar"/>
        </w:rPr>
        <w:t xml:space="preserve">全面推行行业信用承诺，2021年底前推动全区养老服务行业协会建立行业信用承诺制度。充分发挥养老服务行业协会作用，制定行业道德准则，规范从业人员职业行为，加快推进行业自律建设。由行业协会牵头，定期组织三星级及以上养老服务机构开展行业间监督指导活动，切实发挥星级养老服务机构示范引领作用。建立养老服务质量信息公开清单制度，督促养老服务机构主动公开基本信息、规章制度、服务项目、收费标准等事项，接受群众监督。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eastAsia" w:ascii="方正黑体_GBK" w:hAnsi="方正黑体_GBK" w:eastAsia="方正黑体_GBK" w:cs="方正黑体_GBK"/>
          <w:color w:val="000000"/>
          <w:kern w:val="0"/>
          <w:sz w:val="32"/>
          <w:szCs w:val="32"/>
          <w:lang w:val="en-US" w:eastAsia="zh-CN" w:bidi="ar"/>
        </w:rPr>
      </w:pPr>
      <w:r>
        <w:rPr>
          <w:rFonts w:hint="eastAsia" w:ascii="方正黑体_GBK" w:hAnsi="方正黑体_GBK" w:eastAsia="方正黑体_GBK" w:cs="方正黑体_GBK"/>
          <w:color w:val="000000"/>
          <w:kern w:val="0"/>
          <w:sz w:val="32"/>
          <w:szCs w:val="32"/>
          <w:lang w:val="en-US" w:eastAsia="zh-CN" w:bidi="ar"/>
        </w:rPr>
        <w:t>四、不断创新监管方式</w:t>
      </w:r>
    </w:p>
    <w:p>
      <w:pPr>
        <w:keepNext w:val="0"/>
        <w:keepLines w:val="0"/>
        <w:pageBreakBefore w:val="0"/>
        <w:widowControl w:val="0"/>
        <w:numPr>
          <w:ilvl w:val="0"/>
          <w:numId w:val="0"/>
        </w:numPr>
        <w:kinsoku/>
        <w:wordWrap/>
        <w:overflowPunct/>
        <w:topLinePunct/>
        <w:autoSpaceDE/>
        <w:autoSpaceDN/>
        <w:bidi w:val="0"/>
        <w:adjustRightInd/>
        <w:snapToGrid/>
        <w:spacing w:line="58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000000"/>
          <w:kern w:val="0"/>
          <w:sz w:val="32"/>
          <w:szCs w:val="32"/>
          <w:lang w:val="en-US" w:eastAsia="zh-CN" w:bidi="ar"/>
        </w:rPr>
      </w:pPr>
      <w:r>
        <w:rPr>
          <w:rFonts w:hint="eastAsia" w:ascii="方正楷体_GBK" w:hAnsi="方正楷体_GBK" w:eastAsia="方正楷体_GBK" w:cs="方正楷体_GBK"/>
          <w:color w:val="000000"/>
          <w:kern w:val="0"/>
          <w:sz w:val="32"/>
          <w:szCs w:val="32"/>
          <w:lang w:val="en-US" w:eastAsia="zh-CN" w:bidi="ar"/>
        </w:rPr>
        <w:t>（十六）全面加强协同监管。</w:t>
      </w:r>
      <w:r>
        <w:rPr>
          <w:rFonts w:hint="eastAsia" w:ascii="方正仿宋_GBK" w:hAnsi="方正仿宋_GBK" w:eastAsia="方正仿宋_GBK" w:cs="方正仿宋_GBK"/>
          <w:color w:val="auto"/>
          <w:sz w:val="32"/>
          <w:szCs w:val="32"/>
          <w:lang w:eastAsia="zh-CN"/>
        </w:rPr>
        <w:t>依托各级养老服务部门联席会议制度，定期通报部门养老服务机构监督检查情况，共同研究解决监管工作中的重点难点问题，持续强化部门协作。</w:t>
      </w:r>
      <w:r>
        <w:rPr>
          <w:rFonts w:hint="eastAsia" w:ascii="方正仿宋_GBK" w:hAnsi="方正仿宋_GBK" w:eastAsia="方正仿宋_GBK" w:cs="方正仿宋_GBK"/>
          <w:color w:val="000000"/>
          <w:kern w:val="0"/>
          <w:sz w:val="32"/>
          <w:szCs w:val="32"/>
          <w:lang w:val="en-US" w:eastAsia="zh-CN" w:bidi="ar"/>
        </w:rPr>
        <w:t>建立以“双随机、一公开”监管为基本手段、以重点监管为补充、以信用监管为基础的新型监管机制。根据国家制定的《养老服务机构重点检查事项清单》，编制自治区养老服务机构随机抽查事项清单。自治区民政厅要根据社会组织登记管理机关、市场监督管理部门、事业单位登记管理部门登记的养老服务机构信息，建立全区统一的检查对象名录库，并及时做好与各登记管理机构的数据推送共享工作，实现动态更新；要会同住房城乡建设、市场监督管理、应急管理、消防救援等部门建立自治区养老服务机构执法检查人员名录库；制定年度抽查计划，明确自治区、盟市和旗县（市、区）抽查比例，抽查检查结果要通过国家企业信用信息公示系统（内蒙古）、“双随机、一公开”消防监管信息系统和部门网站等渠道进行公示，并将结果及时归集至相应养老服务机构名下。通过政务服务热线受理养老服务投诉，对投诉线索要按照部门职责分办或转办。</w:t>
      </w:r>
    </w:p>
    <w:p>
      <w:pPr>
        <w:keepNext w:val="0"/>
        <w:keepLines w:val="0"/>
        <w:pageBreakBefore w:val="0"/>
        <w:widowControl w:val="0"/>
        <w:numPr>
          <w:ilvl w:val="0"/>
          <w:numId w:val="0"/>
        </w:numPr>
        <w:kinsoku/>
        <w:wordWrap/>
        <w:overflowPunct/>
        <w:topLinePunct/>
        <w:autoSpaceDE/>
        <w:autoSpaceDN/>
        <w:bidi w:val="0"/>
        <w:adjustRightInd/>
        <w:snapToGrid/>
        <w:spacing w:line="58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000000"/>
          <w:kern w:val="0"/>
          <w:sz w:val="32"/>
          <w:szCs w:val="32"/>
          <w:lang w:val="en-US" w:eastAsia="zh-CN" w:bidi="ar"/>
        </w:rPr>
      </w:pPr>
      <w:r>
        <w:rPr>
          <w:rFonts w:hint="eastAsia" w:ascii="方正楷体_GBK" w:hAnsi="方正楷体_GBK" w:eastAsia="方正楷体_GBK" w:cs="方正楷体_GBK"/>
          <w:color w:val="000000"/>
          <w:kern w:val="0"/>
          <w:sz w:val="32"/>
          <w:szCs w:val="32"/>
          <w:lang w:val="en-US" w:eastAsia="zh-CN" w:bidi="ar"/>
        </w:rPr>
        <w:t>（十七）持续推进信用监管。</w:t>
      </w:r>
      <w:r>
        <w:rPr>
          <w:rFonts w:hint="eastAsia" w:ascii="方正仿宋_GBK" w:hAnsi="方正仿宋_GBK" w:eastAsia="方正仿宋_GBK" w:cs="方正仿宋_GBK"/>
          <w:color w:val="000000"/>
          <w:kern w:val="0"/>
          <w:sz w:val="32"/>
          <w:szCs w:val="32"/>
          <w:lang w:val="en-US" w:eastAsia="zh-CN" w:bidi="ar"/>
        </w:rPr>
        <w:t xml:space="preserve">加快建立养老服务机构备案信用承诺制度，推动备案申请人将养老服务机构按照国家和自治区有关法律法规和行为标准开展服务活动的书面承诺向社会公开，将书面承诺履约情况纳入信用记录。建立养老服务市场主体信用记录，通过“信用中国”（内蒙古）网站、国家企业信用信息公示系统（内蒙古）或中国政府网及相关部门网站等渠道依法依规向社会公开，接受社会监督。 </w:t>
      </w:r>
    </w:p>
    <w:p>
      <w:pPr>
        <w:keepNext w:val="0"/>
        <w:keepLines w:val="0"/>
        <w:pageBreakBefore w:val="0"/>
        <w:widowControl w:val="0"/>
        <w:numPr>
          <w:ilvl w:val="0"/>
          <w:numId w:val="0"/>
        </w:numPr>
        <w:kinsoku/>
        <w:wordWrap/>
        <w:overflowPunct/>
        <w:topLinePunct/>
        <w:autoSpaceDE/>
        <w:autoSpaceDN/>
        <w:bidi w:val="0"/>
        <w:adjustRightInd/>
        <w:snapToGrid/>
        <w:spacing w:line="58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000000"/>
          <w:kern w:val="0"/>
          <w:sz w:val="32"/>
          <w:szCs w:val="32"/>
          <w:lang w:val="en-US" w:eastAsia="zh-CN" w:bidi="ar"/>
        </w:rPr>
      </w:pPr>
      <w:r>
        <w:rPr>
          <w:rFonts w:hint="eastAsia" w:ascii="方正楷体_GBK" w:hAnsi="方正楷体_GBK" w:eastAsia="方正楷体_GBK" w:cs="方正楷体_GBK"/>
          <w:color w:val="000000"/>
          <w:kern w:val="0"/>
          <w:sz w:val="32"/>
          <w:szCs w:val="32"/>
          <w:lang w:val="en-US" w:eastAsia="zh-CN" w:bidi="ar"/>
        </w:rPr>
        <w:t>（十八）加快推进信息共享。</w:t>
      </w:r>
      <w:r>
        <w:rPr>
          <w:rFonts w:hint="eastAsia" w:ascii="方正仿宋_GBK" w:hAnsi="方正仿宋_GBK" w:eastAsia="方正仿宋_GBK" w:cs="方正仿宋_GBK"/>
          <w:color w:val="000000"/>
          <w:kern w:val="0"/>
          <w:sz w:val="32"/>
          <w:szCs w:val="32"/>
          <w:lang w:val="en-US" w:eastAsia="zh-CN" w:bidi="ar"/>
        </w:rPr>
        <w:t xml:space="preserve">加快全区养老服务机构信息管理系统建设，2021年9月底前完成全区所有养老服务机构的基本信息、登记备案、运营情况、安全管理、补贴资金、从业人员等信息采集录入工作，做好与民政部“金民工程”的数据交换工作。推进与卫生健康、医疗保障、公安、人力资源社会保障等部门信息共享。及时将养老服务机构登记备案、抽查检查结果、行政处罚、奖惩情况等信息，按照经营性质分别在中国社会组织公共服务平台、国家企业信用信息公示系统（内蒙古）、事业单位在线网进行公示，逐步实现跨地区互通互认、信息一站式查询和综合监管“一张网”。 </w:t>
      </w:r>
    </w:p>
    <w:p>
      <w:pPr>
        <w:keepNext w:val="0"/>
        <w:keepLines w:val="0"/>
        <w:pageBreakBefore w:val="0"/>
        <w:widowControl w:val="0"/>
        <w:numPr>
          <w:ilvl w:val="0"/>
          <w:numId w:val="0"/>
        </w:numPr>
        <w:kinsoku/>
        <w:wordWrap/>
        <w:overflowPunct/>
        <w:topLinePunct/>
        <w:autoSpaceDE/>
        <w:autoSpaceDN/>
        <w:bidi w:val="0"/>
        <w:adjustRightInd/>
        <w:snapToGrid/>
        <w:spacing w:line="58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000000"/>
          <w:kern w:val="0"/>
          <w:sz w:val="32"/>
          <w:szCs w:val="32"/>
          <w:lang w:val="en-US" w:eastAsia="zh-CN" w:bidi="ar"/>
        </w:rPr>
      </w:pPr>
      <w:r>
        <w:rPr>
          <w:rFonts w:hint="eastAsia" w:ascii="方正楷体_GBK" w:hAnsi="方正楷体_GBK" w:eastAsia="方正楷体_GBK" w:cs="方正楷体_GBK"/>
          <w:color w:val="000000"/>
          <w:kern w:val="0"/>
          <w:sz w:val="32"/>
          <w:szCs w:val="32"/>
          <w:lang w:val="en-US" w:eastAsia="zh-CN" w:bidi="ar"/>
        </w:rPr>
        <w:t>（十九）发挥标准规划示范引领作用。</w:t>
      </w:r>
      <w:r>
        <w:rPr>
          <w:rFonts w:hint="eastAsia" w:ascii="方正仿宋_GBK" w:hAnsi="方正仿宋_GBK" w:eastAsia="方正仿宋_GBK" w:cs="方正仿宋_GBK"/>
          <w:color w:val="000000"/>
          <w:kern w:val="0"/>
          <w:sz w:val="32"/>
          <w:szCs w:val="32"/>
          <w:lang w:val="en-US" w:eastAsia="zh-CN" w:bidi="ar"/>
        </w:rPr>
        <w:t xml:space="preserve">根据《养老机构等级划分与评定》国家标准，组织开展养老机构等级评定工作，进一步提高管理服务水平。推进民政部门组建养老服务标准化技术委员会，研究制定居家社区养老服务质量、安全管理等地方标准。推动政府主导制定的标准、养老行业协会发布的团体标准、养老服务机构制定的企业标准协同发展。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eastAsia" w:ascii="方正仿宋_GBK" w:hAnsi="方正仿宋_GBK" w:eastAsia="方正仿宋_GBK" w:cs="方正仿宋_GBK"/>
          <w:color w:val="000000"/>
          <w:kern w:val="0"/>
          <w:sz w:val="32"/>
          <w:szCs w:val="32"/>
          <w:lang w:val="en-US" w:eastAsia="zh-CN" w:bidi="ar"/>
        </w:rPr>
      </w:pPr>
      <w:r>
        <w:rPr>
          <w:rFonts w:hint="eastAsia" w:ascii="方正仿宋_GBK" w:hAnsi="方正仿宋_GBK" w:eastAsia="方正仿宋_GBK" w:cs="方正仿宋_GBK"/>
          <w:color w:val="000000"/>
          <w:kern w:val="0"/>
          <w:sz w:val="32"/>
          <w:szCs w:val="32"/>
          <w:lang w:val="en-US" w:eastAsia="zh-CN" w:bidi="ar"/>
        </w:rPr>
        <w:t>各地区各相关部门要认真贯彻落实党中央、国务院相关决策部署和国办发〔2020〕48号文件精神，结合本通知要求和本地区本部门实际，统筹部署相关工作并抓好落实。要及时总结工作中的好经验好做法，并报送自治区民政厅。</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eastAsia" w:ascii="方正仿宋_GBK" w:hAnsi="方正仿宋_GBK" w:eastAsia="方正仿宋_GBK" w:cs="方正仿宋_GBK"/>
          <w:color w:val="000000"/>
          <w:kern w:val="0"/>
          <w:sz w:val="32"/>
          <w:szCs w:val="32"/>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eastAsia" w:ascii="方正仿宋_GBK" w:hAnsi="方正仿宋_GBK" w:eastAsia="方正仿宋_GBK" w:cs="方正仿宋_GBK"/>
          <w:color w:val="000000"/>
          <w:kern w:val="0"/>
          <w:sz w:val="32"/>
          <w:szCs w:val="32"/>
          <w:lang w:val="en-US" w:eastAsia="zh-CN" w:bidi="ar"/>
        </w:rPr>
      </w:pPr>
      <w:r>
        <w:rPr>
          <w:rFonts w:hint="eastAsia" w:ascii="方正仿宋_GBK" w:hAnsi="方正仿宋_GBK" w:eastAsia="方正仿宋_GBK" w:cs="方正仿宋_GBK"/>
          <w:color w:val="000000"/>
          <w:kern w:val="0"/>
          <w:sz w:val="32"/>
          <w:szCs w:val="32"/>
          <w:lang w:val="en-US" w:eastAsia="zh-CN" w:bidi="ar"/>
        </w:rPr>
        <w:t>附件：养老服务综合监管相关部门职责分工</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eastAsia" w:ascii="方正仿宋_GBK" w:hAnsi="方正仿宋_GBK" w:eastAsia="方正仿宋_GBK" w:cs="方正仿宋_GBK"/>
          <w:color w:val="000000"/>
          <w:kern w:val="0"/>
          <w:sz w:val="32"/>
          <w:szCs w:val="32"/>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eastAsia" w:ascii="方正仿宋_GBK" w:hAnsi="方正仿宋_GBK" w:eastAsia="方正仿宋_GBK" w:cs="方正仿宋_GBK"/>
          <w:color w:val="000000"/>
          <w:kern w:val="0"/>
          <w:sz w:val="32"/>
          <w:szCs w:val="32"/>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eastAsia" w:ascii="方正仿宋_GBK" w:hAnsi="方正仿宋_GBK" w:eastAsia="方正仿宋_GBK" w:cs="方正仿宋_GBK"/>
          <w:color w:val="000000"/>
          <w:kern w:val="0"/>
          <w:sz w:val="32"/>
          <w:szCs w:val="32"/>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eastAsia" w:ascii="方正仿宋_GBK" w:hAnsi="方正仿宋_GBK" w:eastAsia="方正仿宋_GBK" w:cs="方正仿宋_GBK"/>
          <w:color w:val="000000"/>
          <w:kern w:val="0"/>
          <w:sz w:val="32"/>
          <w:szCs w:val="32"/>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eastAsia" w:ascii="方正仿宋_GBK" w:hAnsi="方正仿宋_GBK" w:eastAsia="方正仿宋_GBK" w:cs="方正仿宋_GBK"/>
          <w:color w:val="000000"/>
          <w:kern w:val="0"/>
          <w:sz w:val="32"/>
          <w:szCs w:val="32"/>
          <w:lang w:val="en-US" w:eastAsia="zh-CN" w:bidi="ar"/>
        </w:rPr>
      </w:pPr>
      <w:r>
        <w:rPr>
          <w:rFonts w:hint="eastAsia" w:ascii="方正仿宋_GBK" w:hAnsi="方正仿宋_GBK" w:eastAsia="方正仿宋_GBK" w:cs="方正仿宋_GBK"/>
          <w:color w:val="000000"/>
          <w:kern w:val="0"/>
          <w:sz w:val="32"/>
          <w:szCs w:val="32"/>
          <w:lang w:val="en-US" w:eastAsia="zh-CN" w:bidi="ar"/>
        </w:rPr>
        <w:t xml:space="preserve">                             2021年5月28日</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default" w:ascii="方正仿宋_GBK" w:hAnsi="方正仿宋_GBK" w:eastAsia="方正仿宋_GBK" w:cs="方正仿宋_GBK"/>
          <w:color w:val="000000"/>
          <w:kern w:val="0"/>
          <w:sz w:val="32"/>
          <w:szCs w:val="32"/>
          <w:lang w:val="en-US" w:eastAsia="zh-CN" w:bidi="ar"/>
        </w:rPr>
      </w:pPr>
      <w:r>
        <w:rPr>
          <w:rFonts w:hint="eastAsia" w:ascii="方正仿宋_GBK" w:hAnsi="方正仿宋_GBK" w:eastAsia="方正仿宋_GBK" w:cs="方正仿宋_GBK"/>
          <w:color w:val="000000"/>
          <w:kern w:val="0"/>
          <w:sz w:val="32"/>
          <w:szCs w:val="32"/>
          <w:lang w:val="en-US" w:eastAsia="zh-CN" w:bidi="ar"/>
        </w:rPr>
        <w:t>（此件公开发布）</w:t>
      </w:r>
    </w:p>
    <w:p>
      <w:pPr>
        <w:keepNext w:val="0"/>
        <w:keepLines w:val="0"/>
        <w:pageBreakBefore w:val="0"/>
        <w:kinsoku/>
        <w:wordWrap/>
        <w:overflowPunct/>
        <w:topLinePunct w:val="0"/>
        <w:autoSpaceDE/>
        <w:autoSpaceDN/>
        <w:bidi w:val="0"/>
        <w:adjustRightInd/>
        <w:snapToGrid/>
        <w:spacing w:line="580" w:lineRule="exact"/>
        <w:ind w:right="0" w:rightChars="0"/>
        <w:textAlignment w:val="auto"/>
        <w:outlineLvl w:val="9"/>
        <w:rPr>
          <w:rFonts w:hint="eastAsia" w:ascii="方正黑体_GBK" w:hAnsi="方正黑体_GBK" w:eastAsia="方正黑体_GBK" w:cs="方正黑体_GBK"/>
          <w:b w:val="0"/>
          <w:bCs/>
          <w:sz w:val="32"/>
          <w:szCs w:val="32"/>
        </w:rPr>
      </w:pPr>
      <w:bookmarkStart w:id="2" w:name="_GoBack"/>
      <w:bookmarkEnd w:id="2"/>
      <w:r>
        <w:rPr>
          <w:rFonts w:hint="eastAsia" w:ascii="方正黑体_GBK" w:hAnsi="方正黑体_GBK" w:eastAsia="方正黑体_GBK" w:cs="方正黑体_GBK"/>
          <w:b w:val="0"/>
          <w:bCs/>
          <w:color w:val="333333"/>
          <w:sz w:val="32"/>
          <w:szCs w:val="32"/>
        </w:rPr>
        <w:t>附件</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rightChars="0" w:firstLine="420"/>
        <w:jc w:val="both"/>
        <w:textAlignment w:val="auto"/>
        <w:outlineLvl w:val="9"/>
        <w:rPr>
          <w:rFonts w:hint="eastAsia" w:ascii="仿宋" w:hAnsi="仿宋" w:eastAsia="仿宋" w:cs="仿宋"/>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rightChars="0"/>
        <w:jc w:val="center"/>
        <w:textAlignment w:val="auto"/>
        <w:outlineLvl w:val="9"/>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color w:val="333333"/>
          <w:sz w:val="44"/>
          <w:szCs w:val="44"/>
        </w:rPr>
        <w:t>养老服务综合监管相关部门职责分工</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rightChars="0" w:firstLine="420"/>
        <w:jc w:val="both"/>
        <w:textAlignment w:val="auto"/>
        <w:outlineLvl w:val="9"/>
        <w:rPr>
          <w:rFonts w:hint="eastAsia" w:ascii="仿宋" w:hAnsi="仿宋" w:eastAsia="仿宋" w:cs="仿宋"/>
          <w:sz w:val="32"/>
          <w:szCs w:val="32"/>
        </w:rPr>
      </w:pP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发展改革部门</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依法负责对中央</w:t>
      </w:r>
      <w:r>
        <w:rPr>
          <w:rFonts w:hint="eastAsia" w:ascii="方正仿宋_GBK" w:hAnsi="方正仿宋_GBK" w:eastAsia="方正仿宋_GBK" w:cs="方正仿宋_GBK"/>
          <w:color w:val="auto"/>
          <w:sz w:val="32"/>
          <w:szCs w:val="32"/>
          <w:lang w:eastAsia="zh-CN"/>
        </w:rPr>
        <w:t>和自治区</w:t>
      </w:r>
      <w:r>
        <w:rPr>
          <w:rFonts w:hint="eastAsia" w:ascii="方正仿宋_GBK" w:hAnsi="方正仿宋_GBK" w:eastAsia="方正仿宋_GBK" w:cs="方正仿宋_GBK"/>
          <w:color w:val="auto"/>
          <w:sz w:val="32"/>
          <w:szCs w:val="32"/>
        </w:rPr>
        <w:t>预算内投资支持的养老服务项目建设资金实施管理，对普惠性养老项目实施评估。</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教育部门</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依照权限负责管理监督考核院校内（技工院校除外）职业技能等级证书的实施。</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公安部门</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依法负责查处扰乱养老服务机构工作秩序，故意伤害、虐待老年人等侵犯老年人人身权利，以及以养老服务为名实施非法集资和诈骗等侵犯老年人财产权利的违法犯罪行为。加强人口管理信息的共享应用，提升行业监管能力和服务管理效率。</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民政部门</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依法负责对养老服务机构服务质量、安全、运营的监督管理，推进养老服务标准化体系建设，开展养老服务机构信用监管，以及对社会服务机构性质的养老服务机构和养老服务领域行业组织的登记管理和业务指导监督工作。</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财政部门</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负责会同发展改革、民政部门依法对养老服务机构建设补贴和运营补贴资金使用情况、政府购买养老服务进行监督管理。</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人力资源社会保障部</w:t>
      </w:r>
      <w:r>
        <w:rPr>
          <w:rFonts w:hint="eastAsia" w:ascii="方正仿宋_GBK" w:hAnsi="方正仿宋_GBK" w:eastAsia="方正仿宋_GBK" w:cs="方正仿宋_GBK"/>
          <w:color w:val="auto"/>
          <w:sz w:val="32"/>
          <w:szCs w:val="32"/>
          <w:lang w:eastAsia="zh-CN"/>
        </w:rPr>
        <w:t>门：会同民政部门实施养老护理员国家职业技能标准。</w:t>
      </w:r>
      <w:r>
        <w:rPr>
          <w:rFonts w:hint="eastAsia" w:ascii="方正仿宋_GBK" w:hAnsi="方正仿宋_GBK" w:eastAsia="方正仿宋_GBK" w:cs="方正仿宋_GBK"/>
          <w:color w:val="auto"/>
          <w:sz w:val="32"/>
          <w:szCs w:val="32"/>
        </w:rPr>
        <w:t>依照职责权限做好院校外和技工院校的职业技能等级证书的监督管理。推动社会保障卡在养老服务领域应用，加强老年人社会保障公共服务的信息共享。</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自然资源部门</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依法负责对养老服务机构规划用地等进行监督检查。</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生态环境部门</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依法负责对养老服务机构环境影响评价的审批或者备案，对养老服务机构污染物排放情况进行监督检查。</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住房城乡建设部门</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依法负责对养老服务设施工程建设质量安全的监督管理，依法负责养老服务设施工程建设标准规范的执行监督。</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卫生健康部门</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依法负责</w:t>
      </w:r>
      <w:r>
        <w:rPr>
          <w:rFonts w:hint="eastAsia" w:ascii="方正仿宋_GBK" w:hAnsi="方正仿宋_GBK" w:eastAsia="方正仿宋_GBK" w:cs="方正仿宋_GBK"/>
          <w:color w:val="auto"/>
          <w:sz w:val="32"/>
          <w:szCs w:val="32"/>
          <w:lang w:eastAsia="zh-CN"/>
        </w:rPr>
        <w:t>养老服务机构</w:t>
      </w:r>
      <w:r>
        <w:rPr>
          <w:rFonts w:hint="eastAsia" w:ascii="方正仿宋_GBK" w:hAnsi="方正仿宋_GBK" w:eastAsia="方正仿宋_GBK" w:cs="方正仿宋_GBK"/>
          <w:color w:val="auto"/>
          <w:sz w:val="32"/>
          <w:szCs w:val="32"/>
        </w:rPr>
        <w:t>设立医疗机构的审批或者备案，对医疗机构的执业活动和医疗卫生服务质量进行监督管理。依法负责指导养老服务机构聚集性传染病处置、突发公共卫生事件的医疗卫生救援和应急工作。依法负责采集、汇聚、存储、应用、共享老年人基本健康医疗数据。</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应急管理部门</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负责按程序提请本级安全生产委员会将养老服务安全生产监督管理工作纳入对本级</w:t>
      </w:r>
      <w:r>
        <w:rPr>
          <w:rFonts w:hint="eastAsia" w:ascii="方正仿宋_GBK" w:hAnsi="方正仿宋_GBK" w:eastAsia="方正仿宋_GBK" w:cs="方正仿宋_GBK"/>
          <w:color w:val="auto"/>
          <w:sz w:val="32"/>
          <w:szCs w:val="32"/>
          <w:lang w:eastAsia="zh-CN"/>
        </w:rPr>
        <w:t>人民</w:t>
      </w:r>
      <w:r>
        <w:rPr>
          <w:rFonts w:hint="eastAsia" w:ascii="方正仿宋_GBK" w:hAnsi="方正仿宋_GBK" w:eastAsia="方正仿宋_GBK" w:cs="方正仿宋_GBK"/>
          <w:color w:val="auto"/>
          <w:sz w:val="32"/>
          <w:szCs w:val="32"/>
        </w:rPr>
        <w:t>政府有关部门和下级人民政府年度安全生产考核。</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消防救援机构</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依法负责对养老服务机构实施消防监督检查。</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审计部门</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依法负责对财政资金的使用情况、政府购买养老服务进行监督检查。</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市场监管部门</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依法负责查处养老服务机构不执行政府定价、政府指导价和不按规定明码标价等价格违法行为，推动养老服务标准化工作，对营利性</w:t>
      </w:r>
      <w:r>
        <w:rPr>
          <w:rFonts w:hint="eastAsia" w:ascii="方正仿宋_GBK" w:hAnsi="方正仿宋_GBK" w:eastAsia="方正仿宋_GBK" w:cs="方正仿宋_GBK"/>
          <w:color w:val="auto"/>
          <w:sz w:val="32"/>
          <w:szCs w:val="32"/>
          <w:lang w:eastAsia="zh-CN"/>
        </w:rPr>
        <w:t>养老服务机构</w:t>
      </w:r>
      <w:r>
        <w:rPr>
          <w:rFonts w:hint="eastAsia" w:ascii="方正仿宋_GBK" w:hAnsi="方正仿宋_GBK" w:eastAsia="方正仿宋_GBK" w:cs="方正仿宋_GBK"/>
          <w:color w:val="auto"/>
          <w:sz w:val="32"/>
          <w:szCs w:val="32"/>
        </w:rPr>
        <w:t>进行登记管理，对养老服务机构的特种设备安全、食品安全进行监督检查。</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医疗保障部门</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依法负责对纳入医保定点的</w:t>
      </w:r>
      <w:r>
        <w:rPr>
          <w:rFonts w:hint="eastAsia" w:ascii="方正仿宋_GBK" w:hAnsi="方正仿宋_GBK" w:eastAsia="方正仿宋_GBK" w:cs="方正仿宋_GBK"/>
          <w:color w:val="auto"/>
          <w:sz w:val="32"/>
          <w:szCs w:val="32"/>
          <w:lang w:eastAsia="zh-CN"/>
        </w:rPr>
        <w:t>养老服务机构</w:t>
      </w:r>
      <w:r>
        <w:rPr>
          <w:rFonts w:hint="eastAsia" w:ascii="方正仿宋_GBK" w:hAnsi="方正仿宋_GBK" w:eastAsia="方正仿宋_GBK" w:cs="方正仿宋_GBK"/>
          <w:color w:val="auto"/>
          <w:sz w:val="32"/>
          <w:szCs w:val="32"/>
        </w:rPr>
        <w:t>内设医疗机构医保基金的使用进行监督管理。</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eastAsia="zh-CN"/>
        </w:rPr>
        <w:t>地方金融监管部门、人民银行呼和浩特中心支行、</w:t>
      </w:r>
      <w:r>
        <w:rPr>
          <w:rFonts w:hint="eastAsia" w:ascii="方正仿宋_GBK" w:hAnsi="方正仿宋_GBK" w:eastAsia="方正仿宋_GBK" w:cs="方正仿宋_GBK"/>
          <w:color w:val="auto"/>
          <w:sz w:val="32"/>
          <w:szCs w:val="32"/>
        </w:rPr>
        <w:t>银保监部门</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依法负责对银行业、保险业金融机构参与养老服务市场相关行为进行监督管理。指导和督促银行、保险机构做好对涉嫌非法集资风险的排查。</w:t>
      </w:r>
    </w:p>
    <w:p>
      <w:pPr>
        <w:rPr>
          <w:rFonts w:hint="eastAsia" w:ascii="方正仿宋_GBK" w:hAnsi="方正仿宋_GBK" w:eastAsia="方正仿宋_GBK" w:cs="方正仿宋_GBK"/>
          <w:lang w:eastAsia="zh-CN"/>
        </w:rPr>
      </w:pPr>
    </w:p>
    <w:p>
      <w:pPr>
        <w:rPr>
          <w:rFonts w:hint="eastAsia" w:eastAsia="宋体"/>
          <w:lang w:eastAsia="zh-CN"/>
        </w:rPr>
      </w:pPr>
    </w:p>
    <w:p>
      <w:pPr>
        <w:jc w:val="center"/>
        <w:rPr>
          <w:rFonts w:hint="eastAsia"/>
          <w:b/>
          <w:bCs/>
          <w:sz w:val="44"/>
          <w:szCs w:val="44"/>
          <w:lang w:val="en-US" w:eastAsia="zh-CN"/>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tbl>
      <w:tblPr>
        <w:tblStyle w:val="7"/>
        <w:tblW w:w="0" w:type="auto"/>
        <w:tblInd w:w="0" w:type="dxa"/>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184"/>
      </w:tblGrid>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wBefore w:w="0" w:type="dxa"/>
        </w:trPr>
        <w:tc>
          <w:tcPr>
            <w:tcW w:w="9184" w:type="dxa"/>
            <w:noWrap w:val="0"/>
            <w:vAlign w:val="top"/>
          </w:tcPr>
          <w:p>
            <w:pPr>
              <w:spacing w:line="400" w:lineRule="exact"/>
              <w:ind w:firstLine="280" w:firstLineChars="100"/>
              <w:rPr>
                <w:rFonts w:ascii="仿宋_GB2312" w:eastAsia="仿宋_GB2312"/>
                <w:sz w:val="28"/>
              </w:rPr>
            </w:pPr>
            <w:r>
              <w:rPr>
                <w:rFonts w:hint="eastAsia" w:ascii="仿宋_GB2312" w:eastAsia="仿宋_GB2312"/>
                <w:sz w:val="28"/>
              </w:rPr>
              <w:t>抄送：自治区党委各部门，内蒙古军区，武警内蒙古总队。</w:t>
            </w:r>
          </w:p>
          <w:p>
            <w:pPr>
              <w:spacing w:line="400" w:lineRule="exact"/>
              <w:ind w:firstLine="1148" w:firstLineChars="410"/>
              <w:rPr>
                <w:rFonts w:hint="eastAsia" w:ascii="仿宋_GB2312" w:eastAsia="仿宋_GB2312"/>
                <w:sz w:val="28"/>
                <w:lang w:eastAsia="zh-CN"/>
              </w:rPr>
            </w:pPr>
            <w:r>
              <w:rPr>
                <w:rFonts w:hint="eastAsia" w:ascii="仿宋_GB2312" w:eastAsia="仿宋_GB2312"/>
                <w:sz w:val="28"/>
              </w:rPr>
              <w:t>自治区人大常委会办公厅、政协办公厅，</w:t>
            </w:r>
            <w:r>
              <w:rPr>
                <w:rFonts w:hint="eastAsia" w:ascii="仿宋_GB2312" w:eastAsia="仿宋_GB2312"/>
                <w:sz w:val="28"/>
                <w:lang w:eastAsia="zh-CN"/>
              </w:rPr>
              <w:t>自治区监委，自治区</w:t>
            </w:r>
          </w:p>
          <w:p>
            <w:pPr>
              <w:spacing w:line="400" w:lineRule="exact"/>
              <w:ind w:firstLine="1148" w:firstLineChars="410"/>
              <w:rPr>
                <w:rFonts w:ascii="仿宋_GB2312" w:eastAsia="仿宋_GB2312"/>
                <w:sz w:val="28"/>
              </w:rPr>
            </w:pPr>
            <w:r>
              <w:rPr>
                <w:rFonts w:hint="eastAsia" w:ascii="仿宋_GB2312" w:eastAsia="仿宋_GB2312"/>
                <w:sz w:val="28"/>
              </w:rPr>
              <w:t>高级人民法院，检察院。</w:t>
            </w:r>
          </w:p>
          <w:p>
            <w:pPr>
              <w:spacing w:line="400" w:lineRule="exact"/>
              <w:ind w:firstLine="1148" w:firstLineChars="410"/>
              <w:rPr>
                <w:rFonts w:ascii="仿宋_GB2312" w:eastAsia="仿宋_GB2312"/>
                <w:sz w:val="28"/>
              </w:rPr>
            </w:pPr>
            <w:r>
              <w:rPr>
                <w:rFonts w:hint="eastAsia" w:ascii="仿宋_GB2312" w:eastAsia="仿宋_GB2312"/>
                <w:sz w:val="28"/>
              </w:rPr>
              <w:t>各人民团体，新闻单位。</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wBefore w:w="0" w:type="dxa"/>
        </w:trPr>
        <w:tc>
          <w:tcPr>
            <w:tcW w:w="9184" w:type="dxa"/>
            <w:noWrap w:val="0"/>
            <w:vAlign w:val="top"/>
          </w:tcPr>
          <w:p>
            <w:pPr>
              <w:ind w:firstLine="280" w:firstLineChars="100"/>
              <w:rPr>
                <w:rFonts w:ascii="仿宋_GB2312" w:eastAsia="仿宋_GB2312"/>
                <w:sz w:val="28"/>
              </w:rPr>
            </w:pPr>
            <w:r>
              <w:rPr>
                <w:rFonts w:hint="eastAsia" w:ascii="仿宋_GB2312" w:eastAsia="仿宋_GB2312"/>
                <w:sz w:val="28"/>
              </w:rPr>
              <w:t>内蒙古自治区人民政府办公厅文电处         202</w:t>
            </w:r>
            <w:r>
              <w:rPr>
                <w:rFonts w:hint="eastAsia" w:ascii="仿宋_GB2312" w:eastAsia="仿宋_GB2312"/>
                <w:sz w:val="28"/>
                <w:lang w:val="en-US" w:eastAsia="zh-CN"/>
              </w:rPr>
              <w:t>1</w:t>
            </w:r>
            <w:r>
              <w:rPr>
                <w:rFonts w:hint="eastAsia" w:ascii="仿宋_GB2312" w:eastAsia="仿宋_GB2312"/>
                <w:sz w:val="28"/>
              </w:rPr>
              <w:t>年</w:t>
            </w:r>
            <w:r>
              <w:rPr>
                <w:rFonts w:hint="eastAsia" w:ascii="仿宋_GB2312" w:eastAsia="仿宋_GB2312"/>
                <w:sz w:val="28"/>
                <w:lang w:val="en-US" w:eastAsia="zh-CN"/>
              </w:rPr>
              <w:t>5</w:t>
            </w:r>
            <w:r>
              <w:rPr>
                <w:rFonts w:hint="eastAsia" w:ascii="仿宋_GB2312" w:eastAsia="仿宋_GB2312"/>
                <w:sz w:val="28"/>
              </w:rPr>
              <w:t>月</w:t>
            </w:r>
            <w:r>
              <w:rPr>
                <w:rFonts w:hint="eastAsia" w:ascii="仿宋_GB2312" w:eastAsia="仿宋_GB2312"/>
                <w:sz w:val="28"/>
                <w:lang w:val="en-US" w:eastAsia="zh-CN"/>
              </w:rPr>
              <w:t>28</w:t>
            </w:r>
            <w:r>
              <w:rPr>
                <w:rFonts w:hint="eastAsia" w:ascii="仿宋_GB2312" w:eastAsia="仿宋_GB2312"/>
                <w:sz w:val="28"/>
              </w:rPr>
              <w:t>日印发</w:t>
            </w:r>
          </w:p>
        </w:tc>
      </w:tr>
    </w:tbl>
    <w:p>
      <w:pPr>
        <w:keepNext w:val="0"/>
        <w:keepLines w:val="0"/>
        <w:pageBreakBefore w:val="0"/>
        <w:widowControl w:val="0"/>
        <w:kinsoku/>
        <w:wordWrap/>
        <w:overflowPunct/>
        <w:topLinePunct w:val="0"/>
        <w:autoSpaceDE/>
        <w:autoSpaceDN/>
        <w:bidi w:val="0"/>
        <w:adjustRightInd/>
        <w:snapToGrid/>
        <w:spacing w:line="40" w:lineRule="exact"/>
        <w:ind w:left="0" w:leftChars="0" w:right="0" w:rightChars="0" w:firstLine="0" w:firstLineChars="0"/>
        <w:jc w:val="both"/>
        <w:textAlignment w:val="auto"/>
        <w:outlineLvl w:val="9"/>
      </w:pPr>
    </w:p>
    <w:p>
      <w:pPr>
        <w:spacing w:line="20" w:lineRule="exact"/>
        <w:rPr>
          <w:rFonts w:hint="eastAsia"/>
        </w:rPr>
      </w:pPr>
    </w:p>
    <w:sectPr>
      <w:headerReference r:id="rId3" w:type="default"/>
      <w:footerReference r:id="rId5" w:type="default"/>
      <w:headerReference r:id="rId4" w:type="even"/>
      <w:footerReference r:id="rId6" w:type="even"/>
      <w:pgSz w:w="11906" w:h="16838"/>
      <w:pgMar w:top="2098" w:right="1474" w:bottom="1701" w:left="1474" w:header="851" w:footer="1417" w:gutter="0"/>
      <w:paperSrc/>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Mongolian Baiti">
    <w:altName w:val="DejaVu Math TeX Gyre"/>
    <w:panose1 w:val="03000500000000000000"/>
    <w:charset w:val="00"/>
    <w:family w:val="script"/>
    <w:pitch w:val="default"/>
    <w:sig w:usb0="80000023" w:usb1="00000000" w:usb2="00020000" w:usb3="00000000" w:csb0="00000001" w:csb1="00000000"/>
  </w:font>
  <w:font w:name="华文仿宋">
    <w:altName w:val="方正仿宋_GBK"/>
    <w:panose1 w:val="02010600040101010101"/>
    <w:charset w:val="00"/>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page" w:x="9272" w:y="-23"/>
      <w:rPr>
        <w:rStyle w:val="9"/>
        <w:rFonts w:hint="eastAsia" w:ascii="宋体" w:hAnsi="宋体"/>
        <w:sz w:val="28"/>
        <w:szCs w:val="28"/>
      </w:rPr>
    </w:pPr>
    <w:r>
      <w:rPr>
        <w:rFonts w:hint="eastAsia" w:ascii="宋体" w:hAnsi="宋体"/>
        <w:sz w:val="28"/>
        <w:szCs w:val="28"/>
      </w:rPr>
      <w:fldChar w:fldCharType="begin"/>
    </w:r>
    <w:r>
      <w:rPr>
        <w:rStyle w:val="9"/>
        <w:rFonts w:hint="eastAsia" w:ascii="宋体" w:hAnsi="宋体"/>
        <w:sz w:val="28"/>
        <w:szCs w:val="28"/>
      </w:rPr>
      <w:instrText xml:space="preserve">PAGE  </w:instrText>
    </w:r>
    <w:r>
      <w:rPr>
        <w:rFonts w:hint="eastAsia" w:ascii="宋体" w:hAnsi="宋体"/>
        <w:sz w:val="28"/>
        <w:szCs w:val="28"/>
      </w:rPr>
      <w:fldChar w:fldCharType="separate"/>
    </w:r>
    <w:r>
      <w:rPr>
        <w:rStyle w:val="9"/>
        <w:rFonts w:ascii="宋体" w:hAnsi="宋体"/>
        <w:sz w:val="28"/>
        <w:szCs w:val="28"/>
        <w:lang/>
      </w:rPr>
      <w:t>- 1 -</w:t>
    </w:r>
    <w:r>
      <w:rPr>
        <w:rFonts w:hint="eastAsia" w:ascii="宋体" w:hAnsi="宋体"/>
        <w:sz w:val="28"/>
        <w:szCs w:val="28"/>
      </w:rPr>
      <w:fldChar w:fldCharType="end"/>
    </w:r>
  </w:p>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page" w:x="1892" w:y="-23"/>
      <w:rPr>
        <w:rStyle w:val="9"/>
        <w:rFonts w:ascii="宋体" w:hAnsi="宋体"/>
        <w:sz w:val="28"/>
        <w:szCs w:val="28"/>
      </w:rPr>
    </w:pPr>
    <w:r>
      <w:rPr>
        <w:rFonts w:ascii="宋体" w:hAnsi="宋体"/>
        <w:sz w:val="28"/>
        <w:szCs w:val="28"/>
      </w:rPr>
      <w:fldChar w:fldCharType="begin"/>
    </w:r>
    <w:r>
      <w:rPr>
        <w:rStyle w:val="9"/>
        <w:rFonts w:ascii="宋体" w:hAnsi="宋体"/>
        <w:sz w:val="28"/>
        <w:szCs w:val="28"/>
      </w:rPr>
      <w:instrText xml:space="preserve">PAGE  </w:instrText>
    </w:r>
    <w:r>
      <w:rPr>
        <w:rFonts w:ascii="宋体" w:hAnsi="宋体"/>
        <w:sz w:val="28"/>
        <w:szCs w:val="28"/>
      </w:rPr>
      <w:fldChar w:fldCharType="separate"/>
    </w:r>
    <w:r>
      <w:rPr>
        <w:rStyle w:val="9"/>
        <w:rFonts w:ascii="宋体" w:hAnsi="宋体"/>
        <w:sz w:val="28"/>
        <w:szCs w:val="28"/>
        <w:lang/>
      </w:rPr>
      <w:t>- 2 -</w:t>
    </w:r>
    <w:r>
      <w:rPr>
        <w:rFonts w:ascii="宋体" w:hAnsi="宋体"/>
        <w:sz w:val="28"/>
        <w:szCs w:val="28"/>
      </w:rPr>
      <w:fldChar w:fldCharType="end"/>
    </w:r>
  </w:p>
  <w:p>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evenAndOddHeaders w:val="true"/>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0053B"/>
    <w:rsid w:val="00000BC8"/>
    <w:rsid w:val="00000D35"/>
    <w:rsid w:val="00000E8A"/>
    <w:rsid w:val="00001A5E"/>
    <w:rsid w:val="000023CF"/>
    <w:rsid w:val="00004217"/>
    <w:rsid w:val="0001025F"/>
    <w:rsid w:val="00010E72"/>
    <w:rsid w:val="00010FBD"/>
    <w:rsid w:val="000134B5"/>
    <w:rsid w:val="0001572E"/>
    <w:rsid w:val="0001671F"/>
    <w:rsid w:val="0001751F"/>
    <w:rsid w:val="00017973"/>
    <w:rsid w:val="00017C56"/>
    <w:rsid w:val="00017C8E"/>
    <w:rsid w:val="00021290"/>
    <w:rsid w:val="000228A4"/>
    <w:rsid w:val="00024FC9"/>
    <w:rsid w:val="00025291"/>
    <w:rsid w:val="0003004C"/>
    <w:rsid w:val="000305B6"/>
    <w:rsid w:val="00031020"/>
    <w:rsid w:val="00036CC9"/>
    <w:rsid w:val="00037A1D"/>
    <w:rsid w:val="0004119F"/>
    <w:rsid w:val="00041495"/>
    <w:rsid w:val="00043109"/>
    <w:rsid w:val="00043BA4"/>
    <w:rsid w:val="00045126"/>
    <w:rsid w:val="00047737"/>
    <w:rsid w:val="0005120B"/>
    <w:rsid w:val="00053149"/>
    <w:rsid w:val="00055C21"/>
    <w:rsid w:val="00056556"/>
    <w:rsid w:val="00060597"/>
    <w:rsid w:val="00060CE0"/>
    <w:rsid w:val="000615CF"/>
    <w:rsid w:val="0006347A"/>
    <w:rsid w:val="000671EE"/>
    <w:rsid w:val="00070196"/>
    <w:rsid w:val="000701C3"/>
    <w:rsid w:val="00071DE3"/>
    <w:rsid w:val="00071E83"/>
    <w:rsid w:val="0007324B"/>
    <w:rsid w:val="00074623"/>
    <w:rsid w:val="00076441"/>
    <w:rsid w:val="00076F96"/>
    <w:rsid w:val="00077999"/>
    <w:rsid w:val="00082970"/>
    <w:rsid w:val="0008397E"/>
    <w:rsid w:val="00090E87"/>
    <w:rsid w:val="00090EB2"/>
    <w:rsid w:val="00097E64"/>
    <w:rsid w:val="000A1E68"/>
    <w:rsid w:val="000A2307"/>
    <w:rsid w:val="000A26F8"/>
    <w:rsid w:val="000A3DA4"/>
    <w:rsid w:val="000A51DB"/>
    <w:rsid w:val="000A7F88"/>
    <w:rsid w:val="000B0241"/>
    <w:rsid w:val="000B182B"/>
    <w:rsid w:val="000B2C2B"/>
    <w:rsid w:val="000B318D"/>
    <w:rsid w:val="000B483E"/>
    <w:rsid w:val="000B76CD"/>
    <w:rsid w:val="000D0E03"/>
    <w:rsid w:val="000D1918"/>
    <w:rsid w:val="000D2276"/>
    <w:rsid w:val="000D46E6"/>
    <w:rsid w:val="000D4B7C"/>
    <w:rsid w:val="000E189F"/>
    <w:rsid w:val="000E242A"/>
    <w:rsid w:val="000E2DE0"/>
    <w:rsid w:val="000E4A4D"/>
    <w:rsid w:val="000E5531"/>
    <w:rsid w:val="000E6931"/>
    <w:rsid w:val="000F0166"/>
    <w:rsid w:val="000F1D11"/>
    <w:rsid w:val="000F3390"/>
    <w:rsid w:val="000F3786"/>
    <w:rsid w:val="000F3C60"/>
    <w:rsid w:val="000F7B4B"/>
    <w:rsid w:val="00100F1E"/>
    <w:rsid w:val="00104732"/>
    <w:rsid w:val="001049CB"/>
    <w:rsid w:val="00104FB1"/>
    <w:rsid w:val="001106F2"/>
    <w:rsid w:val="00110B09"/>
    <w:rsid w:val="0011191E"/>
    <w:rsid w:val="001147E4"/>
    <w:rsid w:val="00114AC4"/>
    <w:rsid w:val="00114FD2"/>
    <w:rsid w:val="001166E7"/>
    <w:rsid w:val="00117691"/>
    <w:rsid w:val="0012067D"/>
    <w:rsid w:val="00120FA6"/>
    <w:rsid w:val="00121523"/>
    <w:rsid w:val="00121A80"/>
    <w:rsid w:val="0012298D"/>
    <w:rsid w:val="00124296"/>
    <w:rsid w:val="001243C4"/>
    <w:rsid w:val="0012798F"/>
    <w:rsid w:val="00127D04"/>
    <w:rsid w:val="001303D3"/>
    <w:rsid w:val="001316F8"/>
    <w:rsid w:val="00132688"/>
    <w:rsid w:val="001332BC"/>
    <w:rsid w:val="001340AD"/>
    <w:rsid w:val="0013461A"/>
    <w:rsid w:val="00137385"/>
    <w:rsid w:val="00140625"/>
    <w:rsid w:val="00142107"/>
    <w:rsid w:val="00145C0B"/>
    <w:rsid w:val="00145D2E"/>
    <w:rsid w:val="00146D53"/>
    <w:rsid w:val="00147907"/>
    <w:rsid w:val="00151F28"/>
    <w:rsid w:val="00153017"/>
    <w:rsid w:val="00155A0E"/>
    <w:rsid w:val="001602EE"/>
    <w:rsid w:val="001608F4"/>
    <w:rsid w:val="0016554C"/>
    <w:rsid w:val="00166461"/>
    <w:rsid w:val="0016715A"/>
    <w:rsid w:val="001679C2"/>
    <w:rsid w:val="00170824"/>
    <w:rsid w:val="0017273F"/>
    <w:rsid w:val="00172ABF"/>
    <w:rsid w:val="00173AA9"/>
    <w:rsid w:val="00177B68"/>
    <w:rsid w:val="00180CF8"/>
    <w:rsid w:val="00182DBF"/>
    <w:rsid w:val="00183AA6"/>
    <w:rsid w:val="001844AF"/>
    <w:rsid w:val="00184638"/>
    <w:rsid w:val="00187037"/>
    <w:rsid w:val="00194319"/>
    <w:rsid w:val="001948D4"/>
    <w:rsid w:val="00197198"/>
    <w:rsid w:val="001A0A30"/>
    <w:rsid w:val="001A102B"/>
    <w:rsid w:val="001A1939"/>
    <w:rsid w:val="001A2BD2"/>
    <w:rsid w:val="001A3639"/>
    <w:rsid w:val="001A72B0"/>
    <w:rsid w:val="001B2E25"/>
    <w:rsid w:val="001B36FF"/>
    <w:rsid w:val="001B6A85"/>
    <w:rsid w:val="001C21AB"/>
    <w:rsid w:val="001C291D"/>
    <w:rsid w:val="001C2E2C"/>
    <w:rsid w:val="001C2FB0"/>
    <w:rsid w:val="001C3230"/>
    <w:rsid w:val="001C4131"/>
    <w:rsid w:val="001C472D"/>
    <w:rsid w:val="001D0ADB"/>
    <w:rsid w:val="001D2A39"/>
    <w:rsid w:val="001D3381"/>
    <w:rsid w:val="001D38D9"/>
    <w:rsid w:val="001D42FD"/>
    <w:rsid w:val="001D50C7"/>
    <w:rsid w:val="001D62F3"/>
    <w:rsid w:val="001E1712"/>
    <w:rsid w:val="001E3AE1"/>
    <w:rsid w:val="001E4564"/>
    <w:rsid w:val="001E463E"/>
    <w:rsid w:val="001E48FC"/>
    <w:rsid w:val="001E51E8"/>
    <w:rsid w:val="001E5A4A"/>
    <w:rsid w:val="001F077E"/>
    <w:rsid w:val="001F16D7"/>
    <w:rsid w:val="001F275C"/>
    <w:rsid w:val="001F4B62"/>
    <w:rsid w:val="001F53DE"/>
    <w:rsid w:val="002014F1"/>
    <w:rsid w:val="002016DC"/>
    <w:rsid w:val="00201F3B"/>
    <w:rsid w:val="00202305"/>
    <w:rsid w:val="002037DD"/>
    <w:rsid w:val="00203FE2"/>
    <w:rsid w:val="00205C6F"/>
    <w:rsid w:val="002112BA"/>
    <w:rsid w:val="00211B40"/>
    <w:rsid w:val="0021430F"/>
    <w:rsid w:val="0022010B"/>
    <w:rsid w:val="00222BE8"/>
    <w:rsid w:val="00225BC5"/>
    <w:rsid w:val="00226765"/>
    <w:rsid w:val="002301CC"/>
    <w:rsid w:val="00230DF7"/>
    <w:rsid w:val="00233CA4"/>
    <w:rsid w:val="00237D8D"/>
    <w:rsid w:val="002438BD"/>
    <w:rsid w:val="00244F58"/>
    <w:rsid w:val="002502FA"/>
    <w:rsid w:val="002508F6"/>
    <w:rsid w:val="00253497"/>
    <w:rsid w:val="00253505"/>
    <w:rsid w:val="002537D8"/>
    <w:rsid w:val="00253D8D"/>
    <w:rsid w:val="00254C91"/>
    <w:rsid w:val="0026009A"/>
    <w:rsid w:val="00260B18"/>
    <w:rsid w:val="00261C1B"/>
    <w:rsid w:val="00263BB4"/>
    <w:rsid w:val="00264B5A"/>
    <w:rsid w:val="00265F33"/>
    <w:rsid w:val="002701FE"/>
    <w:rsid w:val="00271599"/>
    <w:rsid w:val="002750B4"/>
    <w:rsid w:val="002755E6"/>
    <w:rsid w:val="00277086"/>
    <w:rsid w:val="0027732C"/>
    <w:rsid w:val="00284880"/>
    <w:rsid w:val="00286092"/>
    <w:rsid w:val="00290135"/>
    <w:rsid w:val="0029606D"/>
    <w:rsid w:val="002973C7"/>
    <w:rsid w:val="002A0CAD"/>
    <w:rsid w:val="002A32E1"/>
    <w:rsid w:val="002A3E00"/>
    <w:rsid w:val="002A5246"/>
    <w:rsid w:val="002A64B4"/>
    <w:rsid w:val="002A67EB"/>
    <w:rsid w:val="002A7BF8"/>
    <w:rsid w:val="002B0F91"/>
    <w:rsid w:val="002B4292"/>
    <w:rsid w:val="002B4C83"/>
    <w:rsid w:val="002C0358"/>
    <w:rsid w:val="002C048B"/>
    <w:rsid w:val="002C1222"/>
    <w:rsid w:val="002C2F22"/>
    <w:rsid w:val="002C409D"/>
    <w:rsid w:val="002C41C0"/>
    <w:rsid w:val="002C49EC"/>
    <w:rsid w:val="002C4FC3"/>
    <w:rsid w:val="002C5B09"/>
    <w:rsid w:val="002D063C"/>
    <w:rsid w:val="002D2CF6"/>
    <w:rsid w:val="002D31DC"/>
    <w:rsid w:val="002D3F3C"/>
    <w:rsid w:val="002D4032"/>
    <w:rsid w:val="002D5A5E"/>
    <w:rsid w:val="002D7462"/>
    <w:rsid w:val="002E0919"/>
    <w:rsid w:val="002E2F22"/>
    <w:rsid w:val="002E3CC3"/>
    <w:rsid w:val="002F5BA9"/>
    <w:rsid w:val="00301AC3"/>
    <w:rsid w:val="00302690"/>
    <w:rsid w:val="00302982"/>
    <w:rsid w:val="00303418"/>
    <w:rsid w:val="00311ECF"/>
    <w:rsid w:val="00316104"/>
    <w:rsid w:val="00317237"/>
    <w:rsid w:val="00321960"/>
    <w:rsid w:val="00322E30"/>
    <w:rsid w:val="00324C04"/>
    <w:rsid w:val="003340DF"/>
    <w:rsid w:val="00334343"/>
    <w:rsid w:val="003347A0"/>
    <w:rsid w:val="00336F88"/>
    <w:rsid w:val="00340FF0"/>
    <w:rsid w:val="00341A6E"/>
    <w:rsid w:val="00342CC3"/>
    <w:rsid w:val="00343E0C"/>
    <w:rsid w:val="00344DA3"/>
    <w:rsid w:val="00350F9A"/>
    <w:rsid w:val="00351987"/>
    <w:rsid w:val="00351F4C"/>
    <w:rsid w:val="00352A64"/>
    <w:rsid w:val="0035334E"/>
    <w:rsid w:val="003557E4"/>
    <w:rsid w:val="0035696B"/>
    <w:rsid w:val="00361A29"/>
    <w:rsid w:val="0036715B"/>
    <w:rsid w:val="00367E4A"/>
    <w:rsid w:val="00371465"/>
    <w:rsid w:val="0037414E"/>
    <w:rsid w:val="0037427E"/>
    <w:rsid w:val="00375606"/>
    <w:rsid w:val="00381A7A"/>
    <w:rsid w:val="00385438"/>
    <w:rsid w:val="003878A5"/>
    <w:rsid w:val="00390619"/>
    <w:rsid w:val="00390C49"/>
    <w:rsid w:val="0039202C"/>
    <w:rsid w:val="00392B94"/>
    <w:rsid w:val="00393F4B"/>
    <w:rsid w:val="00394377"/>
    <w:rsid w:val="003948FC"/>
    <w:rsid w:val="003978C8"/>
    <w:rsid w:val="003A0463"/>
    <w:rsid w:val="003A0C24"/>
    <w:rsid w:val="003A2485"/>
    <w:rsid w:val="003A264D"/>
    <w:rsid w:val="003A31A0"/>
    <w:rsid w:val="003A326C"/>
    <w:rsid w:val="003A3696"/>
    <w:rsid w:val="003A42FA"/>
    <w:rsid w:val="003A5841"/>
    <w:rsid w:val="003A59EE"/>
    <w:rsid w:val="003A6755"/>
    <w:rsid w:val="003B16DE"/>
    <w:rsid w:val="003B1AA3"/>
    <w:rsid w:val="003B32B0"/>
    <w:rsid w:val="003B59D9"/>
    <w:rsid w:val="003B708C"/>
    <w:rsid w:val="003C1EB9"/>
    <w:rsid w:val="003C3249"/>
    <w:rsid w:val="003C3EA0"/>
    <w:rsid w:val="003C419C"/>
    <w:rsid w:val="003C41EC"/>
    <w:rsid w:val="003C4942"/>
    <w:rsid w:val="003D01EF"/>
    <w:rsid w:val="003D14CC"/>
    <w:rsid w:val="003D3B34"/>
    <w:rsid w:val="003D46AE"/>
    <w:rsid w:val="003E323B"/>
    <w:rsid w:val="003E39D4"/>
    <w:rsid w:val="003E549A"/>
    <w:rsid w:val="003E5A89"/>
    <w:rsid w:val="003F1F24"/>
    <w:rsid w:val="003F595E"/>
    <w:rsid w:val="003F6574"/>
    <w:rsid w:val="003F6E09"/>
    <w:rsid w:val="003F728E"/>
    <w:rsid w:val="00402EDB"/>
    <w:rsid w:val="004100FD"/>
    <w:rsid w:val="0041232A"/>
    <w:rsid w:val="004125FC"/>
    <w:rsid w:val="00412AD9"/>
    <w:rsid w:val="00415492"/>
    <w:rsid w:val="004178C8"/>
    <w:rsid w:val="00420CB3"/>
    <w:rsid w:val="00423C35"/>
    <w:rsid w:val="004278D4"/>
    <w:rsid w:val="00430D45"/>
    <w:rsid w:val="00431DA3"/>
    <w:rsid w:val="00432A0C"/>
    <w:rsid w:val="00433DE5"/>
    <w:rsid w:val="00437A54"/>
    <w:rsid w:val="00442031"/>
    <w:rsid w:val="004443C8"/>
    <w:rsid w:val="0044481F"/>
    <w:rsid w:val="004454F7"/>
    <w:rsid w:val="00450079"/>
    <w:rsid w:val="004504E7"/>
    <w:rsid w:val="0045373C"/>
    <w:rsid w:val="00453C0B"/>
    <w:rsid w:val="00456071"/>
    <w:rsid w:val="00456737"/>
    <w:rsid w:val="00456A79"/>
    <w:rsid w:val="00461EDE"/>
    <w:rsid w:val="004638A8"/>
    <w:rsid w:val="00470220"/>
    <w:rsid w:val="00471E78"/>
    <w:rsid w:val="0047252B"/>
    <w:rsid w:val="00472C32"/>
    <w:rsid w:val="00472D58"/>
    <w:rsid w:val="00473996"/>
    <w:rsid w:val="0047592F"/>
    <w:rsid w:val="004767E9"/>
    <w:rsid w:val="00476AF1"/>
    <w:rsid w:val="00477EF4"/>
    <w:rsid w:val="00480A58"/>
    <w:rsid w:val="004823A5"/>
    <w:rsid w:val="00484559"/>
    <w:rsid w:val="004852B6"/>
    <w:rsid w:val="004854B1"/>
    <w:rsid w:val="004876D3"/>
    <w:rsid w:val="004909BB"/>
    <w:rsid w:val="0049197F"/>
    <w:rsid w:val="00493DD9"/>
    <w:rsid w:val="00496CF3"/>
    <w:rsid w:val="00496D57"/>
    <w:rsid w:val="004A135E"/>
    <w:rsid w:val="004A373F"/>
    <w:rsid w:val="004A464E"/>
    <w:rsid w:val="004A4859"/>
    <w:rsid w:val="004B0832"/>
    <w:rsid w:val="004B1D23"/>
    <w:rsid w:val="004B5CC9"/>
    <w:rsid w:val="004B72BC"/>
    <w:rsid w:val="004C0FC4"/>
    <w:rsid w:val="004C1246"/>
    <w:rsid w:val="004C1EC2"/>
    <w:rsid w:val="004C4F15"/>
    <w:rsid w:val="004C61B8"/>
    <w:rsid w:val="004C7700"/>
    <w:rsid w:val="004D028D"/>
    <w:rsid w:val="004D3D71"/>
    <w:rsid w:val="004D4FBD"/>
    <w:rsid w:val="004E1031"/>
    <w:rsid w:val="004E16F4"/>
    <w:rsid w:val="004E2788"/>
    <w:rsid w:val="004E28A4"/>
    <w:rsid w:val="004E3E2A"/>
    <w:rsid w:val="004E441F"/>
    <w:rsid w:val="004E4CF0"/>
    <w:rsid w:val="004F0E59"/>
    <w:rsid w:val="004F1A93"/>
    <w:rsid w:val="004F27DA"/>
    <w:rsid w:val="004F29A2"/>
    <w:rsid w:val="004F2EAE"/>
    <w:rsid w:val="004F2FDA"/>
    <w:rsid w:val="004F49DE"/>
    <w:rsid w:val="004F4C83"/>
    <w:rsid w:val="004F564A"/>
    <w:rsid w:val="004F6088"/>
    <w:rsid w:val="0050055F"/>
    <w:rsid w:val="00501A8E"/>
    <w:rsid w:val="00502762"/>
    <w:rsid w:val="00502983"/>
    <w:rsid w:val="005045F2"/>
    <w:rsid w:val="0051102B"/>
    <w:rsid w:val="0051110B"/>
    <w:rsid w:val="00513E02"/>
    <w:rsid w:val="005141F0"/>
    <w:rsid w:val="00514727"/>
    <w:rsid w:val="0051691A"/>
    <w:rsid w:val="005216DB"/>
    <w:rsid w:val="00522BE1"/>
    <w:rsid w:val="00525134"/>
    <w:rsid w:val="00527055"/>
    <w:rsid w:val="00527860"/>
    <w:rsid w:val="005302E8"/>
    <w:rsid w:val="005353E5"/>
    <w:rsid w:val="00537C60"/>
    <w:rsid w:val="005403BB"/>
    <w:rsid w:val="00540508"/>
    <w:rsid w:val="00541462"/>
    <w:rsid w:val="00545692"/>
    <w:rsid w:val="00547939"/>
    <w:rsid w:val="0055006E"/>
    <w:rsid w:val="005528A4"/>
    <w:rsid w:val="0055343F"/>
    <w:rsid w:val="00553876"/>
    <w:rsid w:val="005538B1"/>
    <w:rsid w:val="005570A3"/>
    <w:rsid w:val="00557BB6"/>
    <w:rsid w:val="005617E0"/>
    <w:rsid w:val="005623D2"/>
    <w:rsid w:val="0056793D"/>
    <w:rsid w:val="00570476"/>
    <w:rsid w:val="005758B0"/>
    <w:rsid w:val="0057593B"/>
    <w:rsid w:val="005761DA"/>
    <w:rsid w:val="00576B9B"/>
    <w:rsid w:val="005775A5"/>
    <w:rsid w:val="00577A94"/>
    <w:rsid w:val="00577CD6"/>
    <w:rsid w:val="00581C4B"/>
    <w:rsid w:val="00581C8D"/>
    <w:rsid w:val="005820C9"/>
    <w:rsid w:val="005847C1"/>
    <w:rsid w:val="00585078"/>
    <w:rsid w:val="005903E6"/>
    <w:rsid w:val="005906A6"/>
    <w:rsid w:val="00590E74"/>
    <w:rsid w:val="00593B63"/>
    <w:rsid w:val="005A1F8D"/>
    <w:rsid w:val="005A4542"/>
    <w:rsid w:val="005A6087"/>
    <w:rsid w:val="005A67BB"/>
    <w:rsid w:val="005A740E"/>
    <w:rsid w:val="005B0120"/>
    <w:rsid w:val="005B0BCC"/>
    <w:rsid w:val="005B2090"/>
    <w:rsid w:val="005B2A3B"/>
    <w:rsid w:val="005B2AFE"/>
    <w:rsid w:val="005B39F8"/>
    <w:rsid w:val="005B3F4F"/>
    <w:rsid w:val="005C2B4E"/>
    <w:rsid w:val="005C663F"/>
    <w:rsid w:val="005C79E2"/>
    <w:rsid w:val="005D07B3"/>
    <w:rsid w:val="005D1611"/>
    <w:rsid w:val="005E2E59"/>
    <w:rsid w:val="005E5234"/>
    <w:rsid w:val="005E7F3F"/>
    <w:rsid w:val="005F6CAA"/>
    <w:rsid w:val="00602DE5"/>
    <w:rsid w:val="0060451F"/>
    <w:rsid w:val="006049B5"/>
    <w:rsid w:val="006054BF"/>
    <w:rsid w:val="0060556C"/>
    <w:rsid w:val="00605FB9"/>
    <w:rsid w:val="006077DA"/>
    <w:rsid w:val="00613495"/>
    <w:rsid w:val="006138A9"/>
    <w:rsid w:val="00616699"/>
    <w:rsid w:val="006217C9"/>
    <w:rsid w:val="006217CD"/>
    <w:rsid w:val="00622118"/>
    <w:rsid w:val="00622A7A"/>
    <w:rsid w:val="00623F3E"/>
    <w:rsid w:val="00626C25"/>
    <w:rsid w:val="00632581"/>
    <w:rsid w:val="0063404D"/>
    <w:rsid w:val="00637C57"/>
    <w:rsid w:val="00640710"/>
    <w:rsid w:val="00642967"/>
    <w:rsid w:val="00643C82"/>
    <w:rsid w:val="00644794"/>
    <w:rsid w:val="00655583"/>
    <w:rsid w:val="00657A43"/>
    <w:rsid w:val="00660860"/>
    <w:rsid w:val="00660BC7"/>
    <w:rsid w:val="0066177F"/>
    <w:rsid w:val="00661FD1"/>
    <w:rsid w:val="006631A6"/>
    <w:rsid w:val="006635EA"/>
    <w:rsid w:val="0066581C"/>
    <w:rsid w:val="00670F37"/>
    <w:rsid w:val="00674510"/>
    <w:rsid w:val="0067548C"/>
    <w:rsid w:val="0068029A"/>
    <w:rsid w:val="00684358"/>
    <w:rsid w:val="00686D4F"/>
    <w:rsid w:val="00687BC5"/>
    <w:rsid w:val="00691763"/>
    <w:rsid w:val="0069233D"/>
    <w:rsid w:val="006A047B"/>
    <w:rsid w:val="006A28D5"/>
    <w:rsid w:val="006A3076"/>
    <w:rsid w:val="006A3B57"/>
    <w:rsid w:val="006A4BE5"/>
    <w:rsid w:val="006A55AD"/>
    <w:rsid w:val="006A65EF"/>
    <w:rsid w:val="006C492D"/>
    <w:rsid w:val="006C6369"/>
    <w:rsid w:val="006D2826"/>
    <w:rsid w:val="006D44DF"/>
    <w:rsid w:val="006D547B"/>
    <w:rsid w:val="006D582C"/>
    <w:rsid w:val="006D6106"/>
    <w:rsid w:val="006E16EF"/>
    <w:rsid w:val="006E58B8"/>
    <w:rsid w:val="006E628F"/>
    <w:rsid w:val="006E7D08"/>
    <w:rsid w:val="006F0642"/>
    <w:rsid w:val="006F069F"/>
    <w:rsid w:val="006F0977"/>
    <w:rsid w:val="006F19A2"/>
    <w:rsid w:val="006F2FE0"/>
    <w:rsid w:val="006F320A"/>
    <w:rsid w:val="006F4AF1"/>
    <w:rsid w:val="006F6C03"/>
    <w:rsid w:val="006F793B"/>
    <w:rsid w:val="006F7A1E"/>
    <w:rsid w:val="007014BE"/>
    <w:rsid w:val="00704458"/>
    <w:rsid w:val="0070677A"/>
    <w:rsid w:val="007069D0"/>
    <w:rsid w:val="00707093"/>
    <w:rsid w:val="00707748"/>
    <w:rsid w:val="00707A12"/>
    <w:rsid w:val="007103AB"/>
    <w:rsid w:val="007107BA"/>
    <w:rsid w:val="00710CE7"/>
    <w:rsid w:val="007227D3"/>
    <w:rsid w:val="00730BED"/>
    <w:rsid w:val="007327B6"/>
    <w:rsid w:val="00737112"/>
    <w:rsid w:val="007375F9"/>
    <w:rsid w:val="007377CC"/>
    <w:rsid w:val="007418CF"/>
    <w:rsid w:val="007443AD"/>
    <w:rsid w:val="00745BA7"/>
    <w:rsid w:val="00745F2F"/>
    <w:rsid w:val="007469D2"/>
    <w:rsid w:val="0075198B"/>
    <w:rsid w:val="007543DE"/>
    <w:rsid w:val="007566F0"/>
    <w:rsid w:val="00760780"/>
    <w:rsid w:val="00763624"/>
    <w:rsid w:val="0076441E"/>
    <w:rsid w:val="0076657F"/>
    <w:rsid w:val="00774B22"/>
    <w:rsid w:val="00777A09"/>
    <w:rsid w:val="007837F3"/>
    <w:rsid w:val="007904A7"/>
    <w:rsid w:val="00792FEE"/>
    <w:rsid w:val="00794C4E"/>
    <w:rsid w:val="007963A2"/>
    <w:rsid w:val="007A6F05"/>
    <w:rsid w:val="007B6642"/>
    <w:rsid w:val="007C5CDC"/>
    <w:rsid w:val="007C6DEF"/>
    <w:rsid w:val="007C7C36"/>
    <w:rsid w:val="007D1C46"/>
    <w:rsid w:val="007D340E"/>
    <w:rsid w:val="007D5A8A"/>
    <w:rsid w:val="007D62CA"/>
    <w:rsid w:val="007D66C2"/>
    <w:rsid w:val="007D765B"/>
    <w:rsid w:val="007E0BFD"/>
    <w:rsid w:val="007E158B"/>
    <w:rsid w:val="007E20CA"/>
    <w:rsid w:val="007F042D"/>
    <w:rsid w:val="007F0737"/>
    <w:rsid w:val="007F0940"/>
    <w:rsid w:val="007F19AC"/>
    <w:rsid w:val="007F1E62"/>
    <w:rsid w:val="007F24F6"/>
    <w:rsid w:val="007F2A0D"/>
    <w:rsid w:val="007F2A7E"/>
    <w:rsid w:val="007F552B"/>
    <w:rsid w:val="007F63EC"/>
    <w:rsid w:val="00800C47"/>
    <w:rsid w:val="00803F1B"/>
    <w:rsid w:val="008056A7"/>
    <w:rsid w:val="00805852"/>
    <w:rsid w:val="00805B22"/>
    <w:rsid w:val="00810805"/>
    <w:rsid w:val="00810F55"/>
    <w:rsid w:val="00811A91"/>
    <w:rsid w:val="00814958"/>
    <w:rsid w:val="008149CF"/>
    <w:rsid w:val="00816CA5"/>
    <w:rsid w:val="00817FC3"/>
    <w:rsid w:val="00823E54"/>
    <w:rsid w:val="00824A4E"/>
    <w:rsid w:val="008254E7"/>
    <w:rsid w:val="0083477F"/>
    <w:rsid w:val="00837152"/>
    <w:rsid w:val="00837596"/>
    <w:rsid w:val="00840886"/>
    <w:rsid w:val="008408A0"/>
    <w:rsid w:val="00846E88"/>
    <w:rsid w:val="008501A5"/>
    <w:rsid w:val="00851CC6"/>
    <w:rsid w:val="00852BDE"/>
    <w:rsid w:val="00854ADE"/>
    <w:rsid w:val="008576F0"/>
    <w:rsid w:val="00857C89"/>
    <w:rsid w:val="00857FE1"/>
    <w:rsid w:val="008611F2"/>
    <w:rsid w:val="00861E1F"/>
    <w:rsid w:val="00861EE2"/>
    <w:rsid w:val="00862598"/>
    <w:rsid w:val="00864151"/>
    <w:rsid w:val="00865C0D"/>
    <w:rsid w:val="00867F1E"/>
    <w:rsid w:val="008707CA"/>
    <w:rsid w:val="00871650"/>
    <w:rsid w:val="00872A55"/>
    <w:rsid w:val="00873542"/>
    <w:rsid w:val="00880C71"/>
    <w:rsid w:val="0088117B"/>
    <w:rsid w:val="00882531"/>
    <w:rsid w:val="0088714E"/>
    <w:rsid w:val="00887FA5"/>
    <w:rsid w:val="008926B7"/>
    <w:rsid w:val="0089561E"/>
    <w:rsid w:val="008A0590"/>
    <w:rsid w:val="008B063A"/>
    <w:rsid w:val="008B2878"/>
    <w:rsid w:val="008B2A80"/>
    <w:rsid w:val="008B4122"/>
    <w:rsid w:val="008B534E"/>
    <w:rsid w:val="008B536E"/>
    <w:rsid w:val="008B5F79"/>
    <w:rsid w:val="008B61CE"/>
    <w:rsid w:val="008C2242"/>
    <w:rsid w:val="008C2FFC"/>
    <w:rsid w:val="008C3D85"/>
    <w:rsid w:val="008C69BC"/>
    <w:rsid w:val="008C7E3C"/>
    <w:rsid w:val="008D2512"/>
    <w:rsid w:val="008D3423"/>
    <w:rsid w:val="008D416F"/>
    <w:rsid w:val="008D6580"/>
    <w:rsid w:val="008E1E2A"/>
    <w:rsid w:val="008E277B"/>
    <w:rsid w:val="008E3748"/>
    <w:rsid w:val="008E45DE"/>
    <w:rsid w:val="008E765D"/>
    <w:rsid w:val="008F733C"/>
    <w:rsid w:val="00904292"/>
    <w:rsid w:val="00910626"/>
    <w:rsid w:val="00910AC9"/>
    <w:rsid w:val="0091236B"/>
    <w:rsid w:val="009135EF"/>
    <w:rsid w:val="009150AA"/>
    <w:rsid w:val="009167EA"/>
    <w:rsid w:val="00916E26"/>
    <w:rsid w:val="00917CF5"/>
    <w:rsid w:val="009203AD"/>
    <w:rsid w:val="00920BA7"/>
    <w:rsid w:val="00921D50"/>
    <w:rsid w:val="00923ABF"/>
    <w:rsid w:val="009257CF"/>
    <w:rsid w:val="00926D34"/>
    <w:rsid w:val="00926E93"/>
    <w:rsid w:val="00927FAF"/>
    <w:rsid w:val="00930C66"/>
    <w:rsid w:val="00933AD4"/>
    <w:rsid w:val="00935D37"/>
    <w:rsid w:val="00936389"/>
    <w:rsid w:val="00940633"/>
    <w:rsid w:val="009413D6"/>
    <w:rsid w:val="009418C7"/>
    <w:rsid w:val="00942DC2"/>
    <w:rsid w:val="009433EF"/>
    <w:rsid w:val="00943770"/>
    <w:rsid w:val="0094465F"/>
    <w:rsid w:val="00947975"/>
    <w:rsid w:val="00951EE7"/>
    <w:rsid w:val="00956CA1"/>
    <w:rsid w:val="00957FC8"/>
    <w:rsid w:val="0096020A"/>
    <w:rsid w:val="00960DBD"/>
    <w:rsid w:val="00960E8B"/>
    <w:rsid w:val="009618C6"/>
    <w:rsid w:val="0096652B"/>
    <w:rsid w:val="00967743"/>
    <w:rsid w:val="009700AC"/>
    <w:rsid w:val="00970E4B"/>
    <w:rsid w:val="0097162D"/>
    <w:rsid w:val="0097473C"/>
    <w:rsid w:val="00974D3A"/>
    <w:rsid w:val="0097594A"/>
    <w:rsid w:val="00977B8C"/>
    <w:rsid w:val="00980419"/>
    <w:rsid w:val="00980D23"/>
    <w:rsid w:val="00983562"/>
    <w:rsid w:val="00985E2D"/>
    <w:rsid w:val="00990379"/>
    <w:rsid w:val="0099164F"/>
    <w:rsid w:val="00993787"/>
    <w:rsid w:val="00994467"/>
    <w:rsid w:val="00994538"/>
    <w:rsid w:val="00995057"/>
    <w:rsid w:val="0099782D"/>
    <w:rsid w:val="00997D7A"/>
    <w:rsid w:val="009A323D"/>
    <w:rsid w:val="009A4D6E"/>
    <w:rsid w:val="009A54A9"/>
    <w:rsid w:val="009B0F62"/>
    <w:rsid w:val="009B4126"/>
    <w:rsid w:val="009B4573"/>
    <w:rsid w:val="009B5ABF"/>
    <w:rsid w:val="009B6906"/>
    <w:rsid w:val="009B7AF2"/>
    <w:rsid w:val="009B7E26"/>
    <w:rsid w:val="009C0CFE"/>
    <w:rsid w:val="009C323E"/>
    <w:rsid w:val="009C3D15"/>
    <w:rsid w:val="009D16DF"/>
    <w:rsid w:val="009D1830"/>
    <w:rsid w:val="009D1AC9"/>
    <w:rsid w:val="009D1DF7"/>
    <w:rsid w:val="009D357D"/>
    <w:rsid w:val="009D3B7A"/>
    <w:rsid w:val="009D417C"/>
    <w:rsid w:val="009D455E"/>
    <w:rsid w:val="009E25B1"/>
    <w:rsid w:val="009E41F1"/>
    <w:rsid w:val="009E6969"/>
    <w:rsid w:val="009F13D4"/>
    <w:rsid w:val="009F14F1"/>
    <w:rsid w:val="009F1CFB"/>
    <w:rsid w:val="009F1DFF"/>
    <w:rsid w:val="009F35D0"/>
    <w:rsid w:val="009F3B9B"/>
    <w:rsid w:val="009F5A1E"/>
    <w:rsid w:val="009F69BD"/>
    <w:rsid w:val="009F69DB"/>
    <w:rsid w:val="009F6E0B"/>
    <w:rsid w:val="00A0130C"/>
    <w:rsid w:val="00A013CD"/>
    <w:rsid w:val="00A027F4"/>
    <w:rsid w:val="00A0337F"/>
    <w:rsid w:val="00A055DB"/>
    <w:rsid w:val="00A0595F"/>
    <w:rsid w:val="00A12557"/>
    <w:rsid w:val="00A12B15"/>
    <w:rsid w:val="00A1338D"/>
    <w:rsid w:val="00A156FF"/>
    <w:rsid w:val="00A15728"/>
    <w:rsid w:val="00A15F73"/>
    <w:rsid w:val="00A1646A"/>
    <w:rsid w:val="00A17257"/>
    <w:rsid w:val="00A1771F"/>
    <w:rsid w:val="00A17737"/>
    <w:rsid w:val="00A206AD"/>
    <w:rsid w:val="00A21826"/>
    <w:rsid w:val="00A223A7"/>
    <w:rsid w:val="00A22CDE"/>
    <w:rsid w:val="00A22ED2"/>
    <w:rsid w:val="00A23026"/>
    <w:rsid w:val="00A23044"/>
    <w:rsid w:val="00A26DD8"/>
    <w:rsid w:val="00A3282B"/>
    <w:rsid w:val="00A3667B"/>
    <w:rsid w:val="00A41CDE"/>
    <w:rsid w:val="00A42678"/>
    <w:rsid w:val="00A44782"/>
    <w:rsid w:val="00A51056"/>
    <w:rsid w:val="00A52ADA"/>
    <w:rsid w:val="00A5379D"/>
    <w:rsid w:val="00A54A96"/>
    <w:rsid w:val="00A55F01"/>
    <w:rsid w:val="00A5779D"/>
    <w:rsid w:val="00A62053"/>
    <w:rsid w:val="00A66B95"/>
    <w:rsid w:val="00A67E61"/>
    <w:rsid w:val="00A746B2"/>
    <w:rsid w:val="00A74FC4"/>
    <w:rsid w:val="00A8034A"/>
    <w:rsid w:val="00A81344"/>
    <w:rsid w:val="00A8144C"/>
    <w:rsid w:val="00A82198"/>
    <w:rsid w:val="00A85729"/>
    <w:rsid w:val="00A869B9"/>
    <w:rsid w:val="00A871E1"/>
    <w:rsid w:val="00A872AA"/>
    <w:rsid w:val="00A87303"/>
    <w:rsid w:val="00A90EDA"/>
    <w:rsid w:val="00A925C8"/>
    <w:rsid w:val="00A93C26"/>
    <w:rsid w:val="00A9486C"/>
    <w:rsid w:val="00A94FB8"/>
    <w:rsid w:val="00A96790"/>
    <w:rsid w:val="00AA07BD"/>
    <w:rsid w:val="00AA3212"/>
    <w:rsid w:val="00AA3545"/>
    <w:rsid w:val="00AA4BD1"/>
    <w:rsid w:val="00AB27A7"/>
    <w:rsid w:val="00AB38D9"/>
    <w:rsid w:val="00AB7DAC"/>
    <w:rsid w:val="00AC1974"/>
    <w:rsid w:val="00AC2132"/>
    <w:rsid w:val="00AC4D0F"/>
    <w:rsid w:val="00AC6193"/>
    <w:rsid w:val="00AC685E"/>
    <w:rsid w:val="00AD04B0"/>
    <w:rsid w:val="00AD0907"/>
    <w:rsid w:val="00AD29ED"/>
    <w:rsid w:val="00AD5212"/>
    <w:rsid w:val="00AD57D5"/>
    <w:rsid w:val="00AE14C5"/>
    <w:rsid w:val="00AE36EC"/>
    <w:rsid w:val="00AE43B0"/>
    <w:rsid w:val="00AE4C6F"/>
    <w:rsid w:val="00AE5AAD"/>
    <w:rsid w:val="00AE5CC0"/>
    <w:rsid w:val="00AE688F"/>
    <w:rsid w:val="00AF0A6F"/>
    <w:rsid w:val="00AF2682"/>
    <w:rsid w:val="00AF31FA"/>
    <w:rsid w:val="00AF375F"/>
    <w:rsid w:val="00AF400E"/>
    <w:rsid w:val="00AF4411"/>
    <w:rsid w:val="00AF51A3"/>
    <w:rsid w:val="00AF53DE"/>
    <w:rsid w:val="00AF6933"/>
    <w:rsid w:val="00AF7027"/>
    <w:rsid w:val="00B00D15"/>
    <w:rsid w:val="00B041F1"/>
    <w:rsid w:val="00B05A19"/>
    <w:rsid w:val="00B05C1E"/>
    <w:rsid w:val="00B0602B"/>
    <w:rsid w:val="00B065B9"/>
    <w:rsid w:val="00B07A9F"/>
    <w:rsid w:val="00B119FC"/>
    <w:rsid w:val="00B12051"/>
    <w:rsid w:val="00B1350C"/>
    <w:rsid w:val="00B13789"/>
    <w:rsid w:val="00B15D33"/>
    <w:rsid w:val="00B162C3"/>
    <w:rsid w:val="00B22EA7"/>
    <w:rsid w:val="00B246E2"/>
    <w:rsid w:val="00B269DB"/>
    <w:rsid w:val="00B332D7"/>
    <w:rsid w:val="00B3342A"/>
    <w:rsid w:val="00B40DCF"/>
    <w:rsid w:val="00B41574"/>
    <w:rsid w:val="00B43C7B"/>
    <w:rsid w:val="00B4489A"/>
    <w:rsid w:val="00B4656E"/>
    <w:rsid w:val="00B47AB4"/>
    <w:rsid w:val="00B509ED"/>
    <w:rsid w:val="00B54162"/>
    <w:rsid w:val="00B542D3"/>
    <w:rsid w:val="00B560B0"/>
    <w:rsid w:val="00B56A1E"/>
    <w:rsid w:val="00B57284"/>
    <w:rsid w:val="00B6035B"/>
    <w:rsid w:val="00B64E58"/>
    <w:rsid w:val="00B666ED"/>
    <w:rsid w:val="00B70DED"/>
    <w:rsid w:val="00B7317D"/>
    <w:rsid w:val="00B73E35"/>
    <w:rsid w:val="00B76556"/>
    <w:rsid w:val="00B836D5"/>
    <w:rsid w:val="00B840AB"/>
    <w:rsid w:val="00B84FE0"/>
    <w:rsid w:val="00B90C4D"/>
    <w:rsid w:val="00B92C79"/>
    <w:rsid w:val="00B952EB"/>
    <w:rsid w:val="00B96270"/>
    <w:rsid w:val="00B97680"/>
    <w:rsid w:val="00BA069E"/>
    <w:rsid w:val="00BA0EAF"/>
    <w:rsid w:val="00BA12FD"/>
    <w:rsid w:val="00BA16B1"/>
    <w:rsid w:val="00BA5DE0"/>
    <w:rsid w:val="00BA69BB"/>
    <w:rsid w:val="00BA7956"/>
    <w:rsid w:val="00BA7B67"/>
    <w:rsid w:val="00BB143A"/>
    <w:rsid w:val="00BB77ED"/>
    <w:rsid w:val="00BC07D9"/>
    <w:rsid w:val="00BC0F68"/>
    <w:rsid w:val="00BC5ACB"/>
    <w:rsid w:val="00BD0A62"/>
    <w:rsid w:val="00BD0B0A"/>
    <w:rsid w:val="00BD156F"/>
    <w:rsid w:val="00BD1AAA"/>
    <w:rsid w:val="00BD3403"/>
    <w:rsid w:val="00BD3778"/>
    <w:rsid w:val="00BD384E"/>
    <w:rsid w:val="00BD4B1D"/>
    <w:rsid w:val="00BD6CB8"/>
    <w:rsid w:val="00BE03FB"/>
    <w:rsid w:val="00BE1A66"/>
    <w:rsid w:val="00BE25B8"/>
    <w:rsid w:val="00BE5150"/>
    <w:rsid w:val="00BE5638"/>
    <w:rsid w:val="00BF04ED"/>
    <w:rsid w:val="00BF37DC"/>
    <w:rsid w:val="00BF60EE"/>
    <w:rsid w:val="00BF7550"/>
    <w:rsid w:val="00C0138E"/>
    <w:rsid w:val="00C023A4"/>
    <w:rsid w:val="00C03B39"/>
    <w:rsid w:val="00C03DAB"/>
    <w:rsid w:val="00C0403E"/>
    <w:rsid w:val="00C05D5F"/>
    <w:rsid w:val="00C062CC"/>
    <w:rsid w:val="00C06C13"/>
    <w:rsid w:val="00C076E1"/>
    <w:rsid w:val="00C10609"/>
    <w:rsid w:val="00C1296E"/>
    <w:rsid w:val="00C168B8"/>
    <w:rsid w:val="00C16B94"/>
    <w:rsid w:val="00C2004B"/>
    <w:rsid w:val="00C22AFA"/>
    <w:rsid w:val="00C24A34"/>
    <w:rsid w:val="00C275DE"/>
    <w:rsid w:val="00C344E7"/>
    <w:rsid w:val="00C34C2B"/>
    <w:rsid w:val="00C44187"/>
    <w:rsid w:val="00C471EE"/>
    <w:rsid w:val="00C5090D"/>
    <w:rsid w:val="00C516A1"/>
    <w:rsid w:val="00C531FF"/>
    <w:rsid w:val="00C53663"/>
    <w:rsid w:val="00C543E3"/>
    <w:rsid w:val="00C54463"/>
    <w:rsid w:val="00C625FA"/>
    <w:rsid w:val="00C644C7"/>
    <w:rsid w:val="00C659D0"/>
    <w:rsid w:val="00C65F9B"/>
    <w:rsid w:val="00C66275"/>
    <w:rsid w:val="00C66A8C"/>
    <w:rsid w:val="00C70168"/>
    <w:rsid w:val="00C70F21"/>
    <w:rsid w:val="00C71935"/>
    <w:rsid w:val="00C72875"/>
    <w:rsid w:val="00C72993"/>
    <w:rsid w:val="00C757DA"/>
    <w:rsid w:val="00C77A95"/>
    <w:rsid w:val="00C80569"/>
    <w:rsid w:val="00C81A60"/>
    <w:rsid w:val="00C824B1"/>
    <w:rsid w:val="00C82864"/>
    <w:rsid w:val="00C86D95"/>
    <w:rsid w:val="00C903C3"/>
    <w:rsid w:val="00C9086C"/>
    <w:rsid w:val="00C91FF9"/>
    <w:rsid w:val="00C92F43"/>
    <w:rsid w:val="00C944E5"/>
    <w:rsid w:val="00C96FC0"/>
    <w:rsid w:val="00CA30D7"/>
    <w:rsid w:val="00CA4F90"/>
    <w:rsid w:val="00CB3AE8"/>
    <w:rsid w:val="00CB3EA3"/>
    <w:rsid w:val="00CB5D2C"/>
    <w:rsid w:val="00CC14E4"/>
    <w:rsid w:val="00CC2443"/>
    <w:rsid w:val="00CD1675"/>
    <w:rsid w:val="00CD399D"/>
    <w:rsid w:val="00CD4642"/>
    <w:rsid w:val="00CD5308"/>
    <w:rsid w:val="00CE2266"/>
    <w:rsid w:val="00CE5E6E"/>
    <w:rsid w:val="00CE618F"/>
    <w:rsid w:val="00CE6508"/>
    <w:rsid w:val="00CF77E7"/>
    <w:rsid w:val="00CF7E4F"/>
    <w:rsid w:val="00D023FE"/>
    <w:rsid w:val="00D0487F"/>
    <w:rsid w:val="00D101F0"/>
    <w:rsid w:val="00D1209D"/>
    <w:rsid w:val="00D122FC"/>
    <w:rsid w:val="00D13AEB"/>
    <w:rsid w:val="00D14674"/>
    <w:rsid w:val="00D14BFB"/>
    <w:rsid w:val="00D178DE"/>
    <w:rsid w:val="00D202DB"/>
    <w:rsid w:val="00D21A57"/>
    <w:rsid w:val="00D2210B"/>
    <w:rsid w:val="00D222CE"/>
    <w:rsid w:val="00D252DC"/>
    <w:rsid w:val="00D3737D"/>
    <w:rsid w:val="00D37406"/>
    <w:rsid w:val="00D377BF"/>
    <w:rsid w:val="00D4207E"/>
    <w:rsid w:val="00D44386"/>
    <w:rsid w:val="00D444F3"/>
    <w:rsid w:val="00D4554B"/>
    <w:rsid w:val="00D530AF"/>
    <w:rsid w:val="00D54955"/>
    <w:rsid w:val="00D54B07"/>
    <w:rsid w:val="00D55776"/>
    <w:rsid w:val="00D60772"/>
    <w:rsid w:val="00D60B47"/>
    <w:rsid w:val="00D616FD"/>
    <w:rsid w:val="00D6281A"/>
    <w:rsid w:val="00D719F3"/>
    <w:rsid w:val="00D721B4"/>
    <w:rsid w:val="00D74F18"/>
    <w:rsid w:val="00D8130C"/>
    <w:rsid w:val="00D81C3D"/>
    <w:rsid w:val="00D82CD2"/>
    <w:rsid w:val="00D83463"/>
    <w:rsid w:val="00D83650"/>
    <w:rsid w:val="00D87EE7"/>
    <w:rsid w:val="00D91482"/>
    <w:rsid w:val="00D9267E"/>
    <w:rsid w:val="00D92D78"/>
    <w:rsid w:val="00D932EE"/>
    <w:rsid w:val="00D94B63"/>
    <w:rsid w:val="00D94EA0"/>
    <w:rsid w:val="00D95FE5"/>
    <w:rsid w:val="00D96622"/>
    <w:rsid w:val="00D9708A"/>
    <w:rsid w:val="00DA1925"/>
    <w:rsid w:val="00DA35CA"/>
    <w:rsid w:val="00DA70FF"/>
    <w:rsid w:val="00DB0CCF"/>
    <w:rsid w:val="00DB4518"/>
    <w:rsid w:val="00DB6B93"/>
    <w:rsid w:val="00DB6C2C"/>
    <w:rsid w:val="00DC0A4B"/>
    <w:rsid w:val="00DC0E9B"/>
    <w:rsid w:val="00DC21CC"/>
    <w:rsid w:val="00DC73F9"/>
    <w:rsid w:val="00DC7CCD"/>
    <w:rsid w:val="00DD19B7"/>
    <w:rsid w:val="00DD22BC"/>
    <w:rsid w:val="00DE279C"/>
    <w:rsid w:val="00DE52B4"/>
    <w:rsid w:val="00DF14B1"/>
    <w:rsid w:val="00DF1A59"/>
    <w:rsid w:val="00DF35B5"/>
    <w:rsid w:val="00DF5F69"/>
    <w:rsid w:val="00DF761C"/>
    <w:rsid w:val="00E0152C"/>
    <w:rsid w:val="00E05300"/>
    <w:rsid w:val="00E06B2D"/>
    <w:rsid w:val="00E06E06"/>
    <w:rsid w:val="00E108C6"/>
    <w:rsid w:val="00E11FB2"/>
    <w:rsid w:val="00E12664"/>
    <w:rsid w:val="00E1274D"/>
    <w:rsid w:val="00E13203"/>
    <w:rsid w:val="00E135BE"/>
    <w:rsid w:val="00E13CA2"/>
    <w:rsid w:val="00E14D5C"/>
    <w:rsid w:val="00E15AF3"/>
    <w:rsid w:val="00E161D1"/>
    <w:rsid w:val="00E1689F"/>
    <w:rsid w:val="00E17254"/>
    <w:rsid w:val="00E212BE"/>
    <w:rsid w:val="00E21FA4"/>
    <w:rsid w:val="00E22D24"/>
    <w:rsid w:val="00E22F24"/>
    <w:rsid w:val="00E2382F"/>
    <w:rsid w:val="00E24E5D"/>
    <w:rsid w:val="00E3217C"/>
    <w:rsid w:val="00E36741"/>
    <w:rsid w:val="00E373AE"/>
    <w:rsid w:val="00E41597"/>
    <w:rsid w:val="00E4172D"/>
    <w:rsid w:val="00E4182E"/>
    <w:rsid w:val="00E50413"/>
    <w:rsid w:val="00E55935"/>
    <w:rsid w:val="00E57237"/>
    <w:rsid w:val="00E63F89"/>
    <w:rsid w:val="00E64BFD"/>
    <w:rsid w:val="00E64C4D"/>
    <w:rsid w:val="00E64EBF"/>
    <w:rsid w:val="00E70383"/>
    <w:rsid w:val="00E709DB"/>
    <w:rsid w:val="00E70F83"/>
    <w:rsid w:val="00E75B4B"/>
    <w:rsid w:val="00E8016B"/>
    <w:rsid w:val="00E80617"/>
    <w:rsid w:val="00E8163D"/>
    <w:rsid w:val="00E85B61"/>
    <w:rsid w:val="00E87088"/>
    <w:rsid w:val="00E95E66"/>
    <w:rsid w:val="00E966C3"/>
    <w:rsid w:val="00E97D6F"/>
    <w:rsid w:val="00E97EB0"/>
    <w:rsid w:val="00EA42FC"/>
    <w:rsid w:val="00EA5D2D"/>
    <w:rsid w:val="00EB67DA"/>
    <w:rsid w:val="00EC182A"/>
    <w:rsid w:val="00EC29B6"/>
    <w:rsid w:val="00EC6399"/>
    <w:rsid w:val="00EC7B6C"/>
    <w:rsid w:val="00ED00C1"/>
    <w:rsid w:val="00ED059D"/>
    <w:rsid w:val="00ED09BA"/>
    <w:rsid w:val="00ED11DD"/>
    <w:rsid w:val="00ED3579"/>
    <w:rsid w:val="00ED36C0"/>
    <w:rsid w:val="00ED6EE5"/>
    <w:rsid w:val="00ED7EF1"/>
    <w:rsid w:val="00EE610D"/>
    <w:rsid w:val="00EE6A58"/>
    <w:rsid w:val="00EF59D3"/>
    <w:rsid w:val="00EF7BA0"/>
    <w:rsid w:val="00F00288"/>
    <w:rsid w:val="00F03745"/>
    <w:rsid w:val="00F03899"/>
    <w:rsid w:val="00F10329"/>
    <w:rsid w:val="00F12718"/>
    <w:rsid w:val="00F12B22"/>
    <w:rsid w:val="00F13C9F"/>
    <w:rsid w:val="00F14EF6"/>
    <w:rsid w:val="00F16E43"/>
    <w:rsid w:val="00F16FED"/>
    <w:rsid w:val="00F17570"/>
    <w:rsid w:val="00F20D57"/>
    <w:rsid w:val="00F22550"/>
    <w:rsid w:val="00F23334"/>
    <w:rsid w:val="00F2738E"/>
    <w:rsid w:val="00F3016E"/>
    <w:rsid w:val="00F33BEB"/>
    <w:rsid w:val="00F379AA"/>
    <w:rsid w:val="00F44761"/>
    <w:rsid w:val="00F46AB3"/>
    <w:rsid w:val="00F474B2"/>
    <w:rsid w:val="00F50369"/>
    <w:rsid w:val="00F50692"/>
    <w:rsid w:val="00F5173D"/>
    <w:rsid w:val="00F52276"/>
    <w:rsid w:val="00F543CE"/>
    <w:rsid w:val="00F565B8"/>
    <w:rsid w:val="00F575A7"/>
    <w:rsid w:val="00F60831"/>
    <w:rsid w:val="00F65AD3"/>
    <w:rsid w:val="00F66F53"/>
    <w:rsid w:val="00F70531"/>
    <w:rsid w:val="00F71128"/>
    <w:rsid w:val="00F71E53"/>
    <w:rsid w:val="00F72EFC"/>
    <w:rsid w:val="00F768AB"/>
    <w:rsid w:val="00F76A08"/>
    <w:rsid w:val="00F81D9A"/>
    <w:rsid w:val="00F85DCD"/>
    <w:rsid w:val="00F875D2"/>
    <w:rsid w:val="00F90490"/>
    <w:rsid w:val="00F93577"/>
    <w:rsid w:val="00F94AE4"/>
    <w:rsid w:val="00F97389"/>
    <w:rsid w:val="00F976AC"/>
    <w:rsid w:val="00F97B09"/>
    <w:rsid w:val="00FA12AD"/>
    <w:rsid w:val="00FA1C85"/>
    <w:rsid w:val="00FA3864"/>
    <w:rsid w:val="00FA43C3"/>
    <w:rsid w:val="00FA48E5"/>
    <w:rsid w:val="00FA6964"/>
    <w:rsid w:val="00FA6D1C"/>
    <w:rsid w:val="00FB19A9"/>
    <w:rsid w:val="00FC097D"/>
    <w:rsid w:val="00FC0A54"/>
    <w:rsid w:val="00FC2F2E"/>
    <w:rsid w:val="00FC3A41"/>
    <w:rsid w:val="00FC7EC2"/>
    <w:rsid w:val="00FD314F"/>
    <w:rsid w:val="00FD3F68"/>
    <w:rsid w:val="00FD6099"/>
    <w:rsid w:val="00FD668C"/>
    <w:rsid w:val="00FD6BBF"/>
    <w:rsid w:val="00FD707C"/>
    <w:rsid w:val="00FE51BD"/>
    <w:rsid w:val="00FE5DC3"/>
    <w:rsid w:val="00FF1779"/>
    <w:rsid w:val="00FF2340"/>
    <w:rsid w:val="00FF60C7"/>
    <w:rsid w:val="00FF7392"/>
    <w:rsid w:val="061C0F7C"/>
    <w:rsid w:val="074D26E8"/>
    <w:rsid w:val="18BB61DA"/>
    <w:rsid w:val="2A7B8BD5"/>
    <w:rsid w:val="2B0D6631"/>
    <w:rsid w:val="2DFF8A12"/>
    <w:rsid w:val="33E21BFF"/>
    <w:rsid w:val="34344AEB"/>
    <w:rsid w:val="38611C47"/>
    <w:rsid w:val="432D7288"/>
    <w:rsid w:val="55FC7F9A"/>
    <w:rsid w:val="581D5AD2"/>
    <w:rsid w:val="5EDA37BE"/>
    <w:rsid w:val="64B86B45"/>
    <w:rsid w:val="66AB1482"/>
    <w:rsid w:val="6DF7EB74"/>
    <w:rsid w:val="70312A5F"/>
    <w:rsid w:val="73FEB08F"/>
    <w:rsid w:val="77FFBB43"/>
    <w:rsid w:val="7A3E4933"/>
    <w:rsid w:val="7ADE2FB5"/>
    <w:rsid w:val="7D259470"/>
    <w:rsid w:val="7E960D71"/>
    <w:rsid w:val="7F7F05CC"/>
    <w:rsid w:val="9FED50E2"/>
    <w:rsid w:val="AEDFC6F9"/>
    <w:rsid w:val="B7630701"/>
    <w:rsid w:val="BF7B7281"/>
    <w:rsid w:val="BFF283F6"/>
    <w:rsid w:val="BFFF9747"/>
    <w:rsid w:val="DCFF776F"/>
    <w:rsid w:val="DFF31FBF"/>
    <w:rsid w:val="E79739C6"/>
    <w:rsid w:val="ED6BE7E9"/>
    <w:rsid w:val="EFEF1A35"/>
    <w:rsid w:val="F5F86A3E"/>
    <w:rsid w:val="FEE3408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Style w:val="7"/>
      <w:tblCellMar>
        <w:top w:w="0" w:type="dxa"/>
        <w:left w:w="108" w:type="dxa"/>
        <w:bottom w:w="0" w:type="dxa"/>
        <w:right w:w="108" w:type="dxa"/>
      </w:tblCellMar>
    </w:tblPr>
  </w:style>
  <w:style w:type="paragraph" w:styleId="2">
    <w:name w:val="Date"/>
    <w:basedOn w:val="1"/>
    <w:next w:val="1"/>
    <w:link w:val="10"/>
    <w:uiPriority w:val="0"/>
    <w:pPr>
      <w:ind w:left="100" w:leftChars="2500"/>
    </w:pPr>
    <w:rPr>
      <w:rFonts w:ascii="仿宋_GB2312" w:eastAsia="仿宋_GB2312"/>
      <w:sz w:val="32"/>
    </w:rPr>
  </w:style>
  <w:style w:type="paragraph" w:styleId="3">
    <w:name w:val="Balloon Text"/>
    <w:basedOn w:val="1"/>
    <w:semiHidden/>
    <w:uiPriority w:val="0"/>
    <w:rPr>
      <w:sz w:val="18"/>
      <w:szCs w:val="18"/>
    </w:rPr>
  </w:style>
  <w:style w:type="paragraph" w:styleId="4">
    <w:name w:val="footer"/>
    <w:basedOn w:val="1"/>
    <w:link w:val="11"/>
    <w:uiPriority w:val="0"/>
    <w:pPr>
      <w:tabs>
        <w:tab w:val="center" w:pos="4153"/>
        <w:tab w:val="right" w:pos="8306"/>
      </w:tabs>
      <w:snapToGrid w:val="0"/>
      <w:jc w:val="left"/>
    </w:pPr>
    <w:rPr>
      <w:sz w:val="18"/>
      <w:szCs w:val="18"/>
    </w:rPr>
  </w:style>
  <w:style w:type="paragraph" w:styleId="5">
    <w:name w:val="header"/>
    <w:basedOn w:val="1"/>
    <w:link w:val="12"/>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Calibri" w:hAnsi="Calibri" w:eastAsia="宋体" w:cs="Times New Roman"/>
      <w:kern w:val="0"/>
      <w:sz w:val="24"/>
      <w:szCs w:val="24"/>
      <w:lang w:val="en-US" w:eastAsia="zh-CN" w:bidi="ar"/>
    </w:rPr>
  </w:style>
  <w:style w:type="character" w:styleId="9">
    <w:name w:val="page number"/>
    <w:basedOn w:val="8"/>
    <w:uiPriority w:val="0"/>
  </w:style>
  <w:style w:type="character" w:customStyle="1" w:styleId="10">
    <w:name w:val=" Char Char2"/>
    <w:basedOn w:val="8"/>
    <w:link w:val="2"/>
    <w:uiPriority w:val="0"/>
    <w:rPr>
      <w:rFonts w:ascii="仿宋_GB2312" w:hAnsi="Times New Roman" w:eastAsia="仿宋_GB2312" w:cs="Times New Roman"/>
      <w:kern w:val="2"/>
      <w:sz w:val="32"/>
      <w:szCs w:val="24"/>
      <w:lang w:bidi="ar-SA"/>
    </w:rPr>
  </w:style>
  <w:style w:type="character" w:customStyle="1" w:styleId="11">
    <w:name w:val=" Char Char"/>
    <w:basedOn w:val="8"/>
    <w:link w:val="4"/>
    <w:semiHidden/>
    <w:uiPriority w:val="99"/>
    <w:rPr>
      <w:rFonts w:ascii="Calibri" w:hAnsi="Calibri" w:eastAsia="宋体" w:cs="Mongolian Baiti"/>
      <w:kern w:val="2"/>
      <w:sz w:val="18"/>
      <w:szCs w:val="22"/>
    </w:rPr>
  </w:style>
  <w:style w:type="character" w:customStyle="1" w:styleId="12">
    <w:name w:val=" Char Char1"/>
    <w:basedOn w:val="8"/>
    <w:link w:val="5"/>
    <w:semiHidden/>
    <w:uiPriority w:val="99"/>
    <w:rPr>
      <w:rFonts w:ascii="Calibri" w:hAnsi="Calibri" w:eastAsia="宋体" w:cs="Mongolian Baiti"/>
      <w:kern w:val="2"/>
      <w:sz w:val="18"/>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thtf/c:\dsoa\wdzx9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wdzx97.dot</Template>
  <Company>Lenovo (Beijing) Limited</Company>
  <Pages>2</Pages>
  <Words>13</Words>
  <Characters>76</Characters>
  <Lines>1</Lines>
  <Paragraphs>1</Paragraphs>
  <TotalTime>1</TotalTime>
  <ScaleCrop>false</ScaleCrop>
  <LinksUpToDate>false</LinksUpToDate>
  <CharactersWithSpaces>88</CharactersWithSpaces>
  <Application>WPS Office_11.8.2.9900_F1E327BC-269C-435d-A152-05C5408002CA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2012-11-18T22:34:00Z</dcterms:created>
  <dc:creator>王蕾:打印</dc:creator>
  <cp:lastModifiedBy>thtf</cp:lastModifiedBy>
  <dcterms:modified xsi:type="dcterms:W3CDTF">2021-06-02T11:05:57Z</dcterms:modified>
  <dc:title>_x0001_</dc:title>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2052-11.8.2.9900</vt:lpwstr>
  </property>
</Properties>
</file>