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spacing w:line="580" w:lineRule="exact"/>
        <w:jc w:val="center"/>
        <w:textAlignment w:val="auto"/>
        <w:rPr>
          <w:rFonts w:hint="eastAsia" w:ascii="方正小标宋_GBK" w:hAnsi="方正小标宋_GBK" w:eastAsia="方正小标宋_GBK" w:cs="方正小标宋_GBK"/>
          <w:sz w:val="44"/>
          <w:szCs w:val="44"/>
          <w:lang w:eastAsia="zh-CN"/>
        </w:rPr>
      </w:pPr>
      <w:bookmarkStart w:id="0" w:name="标题"/>
      <w:bookmarkEnd w:id="0"/>
      <w:r>
        <w:rPr>
          <w:rFonts w:hint="eastAsia" w:ascii="方正小标宋_GBK" w:hAnsi="方正小标宋_GBK" w:eastAsia="方正小标宋_GBK" w:cs="方正小标宋_GBK"/>
          <w:sz w:val="44"/>
          <w:szCs w:val="44"/>
          <w:lang w:eastAsia="zh-CN"/>
        </w:rPr>
        <w:t>内蒙古自治区人民政府关于</w:t>
      </w:r>
    </w:p>
    <w:p>
      <w:pPr>
        <w:keepNext w:val="0"/>
        <w:keepLines w:val="0"/>
        <w:pageBreakBefore w:val="0"/>
        <w:widowControl w:val="0"/>
        <w:kinsoku/>
        <w:wordWrap/>
        <w:overflowPunct/>
        <w:topLinePunct w:val="0"/>
        <w:autoSpaceDE/>
        <w:autoSpaceDN/>
        <w:bidi w:val="0"/>
        <w:spacing w:line="58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加快推进数字经济发展若干政策的通知</w:t>
      </w:r>
    </w:p>
    <w:p>
      <w:pPr>
        <w:keepNext w:val="0"/>
        <w:keepLines w:val="0"/>
        <w:pageBreakBefore w:val="0"/>
        <w:widowControl w:val="0"/>
        <w:kinsoku/>
        <w:wordWrap/>
        <w:overflowPunct/>
        <w:topLinePunct w:val="0"/>
        <w:autoSpaceDE/>
        <w:autoSpaceDN/>
        <w:bidi w:val="0"/>
        <w:spacing w:line="58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spacing w:line="580" w:lineRule="exact"/>
        <w:jc w:val="center"/>
        <w:textAlignment w:val="auto"/>
        <w:rPr>
          <w:rFonts w:hint="eastAsia" w:ascii="方正小标宋_GBK" w:hAnsi="方正小标宋_GBK" w:eastAsia="方正小标宋_GBK" w:cs="方正小标宋_GBK"/>
          <w:sz w:val="44"/>
          <w:szCs w:val="44"/>
          <w:lang w:eastAsia="zh-CN"/>
        </w:rPr>
      </w:pPr>
      <w:r>
        <w:rPr>
          <w:rFonts w:hint="eastAsia" w:ascii="仿宋_GB2312" w:hAnsi="华文仿宋" w:eastAsia="仿宋_GB2312"/>
          <w:sz w:val="32"/>
          <w:lang w:eastAsia="zh-CN"/>
        </w:rPr>
        <w:t>内政发〔2022〕33号</w:t>
      </w:r>
    </w:p>
    <w:p>
      <w:pPr>
        <w:keepNext w:val="0"/>
        <w:keepLines w:val="0"/>
        <w:pageBreakBefore w:val="0"/>
        <w:widowControl w:val="0"/>
        <w:kinsoku/>
        <w:wordWrap/>
        <w:overflowPunct/>
        <w:topLinePunct w:val="0"/>
        <w:autoSpaceDE/>
        <w:autoSpaceDN/>
        <w:bidi w:val="0"/>
        <w:spacing w:line="580" w:lineRule="exact"/>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bookmarkStart w:id="1" w:name="_GoBack"/>
      <w:r>
        <w:rPr>
          <w:rFonts w:hint="eastAsia" w:ascii="仿宋" w:hAnsi="仿宋" w:eastAsia="仿宋" w:cs="仿宋"/>
          <w:sz w:val="32"/>
          <w:szCs w:val="32"/>
        </w:rPr>
        <w:t>各盟行政公署、市人民政府，自治区各委、办、厅、局，各大企业、事业单位</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深入贯彻党中央、国务院关于加快数字经济发展的决策部署及自治区党委和政府工作要求，全面落实《内蒙古自治区“十四五”数字经济发展规划》《内蒙古自治区推进数字产业化产业数字化发展行动方案（2021—2023年）》，进一步激发全区数字经济发展活力，促进自治区高质量发展，现就加快推进数字经济发展若干政策通知如下。</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一、加快5G网络建设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仿宋" w:hAnsi="仿宋" w:eastAsia="仿宋" w:cs="仿宋"/>
          <w:sz w:val="32"/>
          <w:szCs w:val="32"/>
        </w:rPr>
        <w:t>（一）自治区通信管理部门以国土空间规划为基础，会同有关部门制定全区5G等通信基础设施空间布局专项规划，除法律、法规另有规定外，公共交通枢纽、校园、医院、政府机关及企事业单位、公园绿地等公共设施和场所无偿向5G基站开放，5G基站用地需求纳入年度用地计划，建筑物规划预留5G微站、室内分布系统等设施空间。</w:t>
      </w:r>
      <w:r>
        <w:rPr>
          <w:rFonts w:hint="eastAsia" w:ascii="楷体" w:hAnsi="楷体" w:eastAsia="楷体" w:cs="楷体"/>
          <w:sz w:val="32"/>
          <w:szCs w:val="32"/>
        </w:rPr>
        <w:t>（内蒙古通信管理局，自治区自然资源厅、工业和信息化厅、住房城乡建设厅负责）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仿宋" w:hAnsi="仿宋" w:eastAsia="仿宋" w:cs="仿宋"/>
          <w:sz w:val="32"/>
          <w:szCs w:val="32"/>
        </w:rPr>
        <w:t>（二）基础电信、铁塔和广电运营企业使用高速公路等路网管孔，租赁费用原则上按不高于4000元/管孔/公里/年结算价格签订租赁合同，同时可考虑市场价格因素，与高速公路经营单位协商租赁费，上下浮动价格，各租赁企业不得转租。</w:t>
      </w:r>
      <w:r>
        <w:rPr>
          <w:rFonts w:hint="eastAsia" w:ascii="楷体" w:hAnsi="楷体" w:eastAsia="楷体" w:cs="楷体"/>
          <w:sz w:val="32"/>
          <w:szCs w:val="32"/>
        </w:rPr>
        <w:t>（自治区国资委、交通运输厅负责）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（三）对5G基站及配套机房、核心枢纽机房等用</w:t>
      </w:r>
      <w:r>
        <w:rPr>
          <w:rFonts w:hint="eastAsia" w:ascii="仿宋" w:hAnsi="仿宋" w:eastAsia="仿宋" w:cs="仿宋"/>
          <w:spacing w:val="-6"/>
          <w:sz w:val="32"/>
          <w:szCs w:val="32"/>
        </w:rPr>
        <w:t>电价格给予</w:t>
      </w:r>
      <w:r>
        <w:rPr>
          <w:rFonts w:hint="eastAsia" w:ascii="仿宋" w:hAnsi="仿宋" w:eastAsia="仿宋" w:cs="仿宋"/>
          <w:sz w:val="32"/>
          <w:szCs w:val="32"/>
        </w:rPr>
        <w:t>符合国家政策规定的电价扶持。</w:t>
      </w:r>
      <w:r>
        <w:rPr>
          <w:rFonts w:hint="eastAsia" w:ascii="楷体" w:hAnsi="楷体" w:eastAsia="楷体" w:cs="楷体"/>
          <w:sz w:val="32"/>
          <w:szCs w:val="32"/>
        </w:rPr>
        <w:t>（自治区工业和信息化厅、发展改革委，内蒙古通信管理局负责）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二、支持算力网络国家枢纽节点建设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仿宋" w:hAnsi="仿宋" w:eastAsia="仿宋" w:cs="仿宋"/>
          <w:sz w:val="32"/>
          <w:szCs w:val="32"/>
        </w:rPr>
        <w:t>（四）优化数据中心建设布局，新建大型、超大型数据中心原则上布局在全国一体化算力网络国家（内蒙古）枢纽节点和林格尔数据中心集群(和林格尔新区、集宁大数据产业园)内，积极争取国家对和林格尔数据中心集群内符合条件的数据中心项目给予支持。</w:t>
      </w:r>
      <w:r>
        <w:rPr>
          <w:rFonts w:hint="eastAsia" w:ascii="楷体" w:hAnsi="楷体" w:eastAsia="楷体" w:cs="楷体"/>
          <w:sz w:val="32"/>
          <w:szCs w:val="32"/>
        </w:rPr>
        <w:t>（自治区发展改革委、党委网信办、工业和信息化厅负责）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仿宋" w:hAnsi="仿宋" w:eastAsia="仿宋" w:cs="仿宋"/>
          <w:sz w:val="32"/>
          <w:szCs w:val="32"/>
        </w:rPr>
        <w:t>（五）对和林格尔数据中心集群内的数据中心建设项目给予符合国家规定的电价扶持。</w:t>
      </w:r>
      <w:r>
        <w:rPr>
          <w:rFonts w:hint="eastAsia" w:ascii="楷体" w:hAnsi="楷体" w:eastAsia="楷体" w:cs="楷体"/>
          <w:sz w:val="32"/>
          <w:szCs w:val="32"/>
        </w:rPr>
        <w:t>（自治区发展改革委负责）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三、支持壮大电子信息制造业和软件信息服务业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仿宋" w:hAnsi="仿宋" w:eastAsia="仿宋" w:cs="仿宋"/>
          <w:sz w:val="32"/>
          <w:szCs w:val="32"/>
        </w:rPr>
        <w:t>（六）支持电子信息制造业发展，服务器及数据中心相关设备、半导体、通信设备、智能终端、消费电子产品、传感器、光电、显示、电子专用装备及关键电子材料、零部件、元器件等列入自治区数字经济重点项目名单的项目，由自治区数字经济发展专项资金给予支持。</w:t>
      </w:r>
      <w:r>
        <w:rPr>
          <w:rFonts w:hint="eastAsia" w:ascii="楷体" w:hAnsi="楷体" w:eastAsia="楷体" w:cs="楷体"/>
          <w:sz w:val="32"/>
          <w:szCs w:val="32"/>
        </w:rPr>
        <w:t>（自治区发展改革委、财政厅、工业和信息化厅负责）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仿宋" w:hAnsi="仿宋" w:eastAsia="仿宋" w:cs="仿宋"/>
          <w:sz w:val="32"/>
          <w:szCs w:val="32"/>
        </w:rPr>
        <w:t>（七）对符合财政部等四部委《关于软件和集成电路产业企业所得税优惠政策有关问题的通知》（财税〔2016〕49号）相关条件的企业，按照规定享受企业所得税优惠政策。</w:t>
      </w:r>
      <w:r>
        <w:rPr>
          <w:rFonts w:hint="eastAsia" w:ascii="楷体" w:hAnsi="楷体" w:eastAsia="楷体" w:cs="楷体"/>
          <w:sz w:val="32"/>
          <w:szCs w:val="32"/>
        </w:rPr>
        <w:t>（内蒙古税务局负责）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仿宋" w:hAnsi="仿宋" w:eastAsia="仿宋" w:cs="仿宋"/>
          <w:sz w:val="32"/>
          <w:szCs w:val="32"/>
        </w:rPr>
        <w:t>（八）按照首版次软件取得知识产权或证书规定期限内截至申请时的实际销售总额的20%给予补助，单个企业补助金额最高不超过300万元。对企业新开发的工业软件(工业APP)，按照研发该产品实际投入金额的20%给予补助，单个企业补助金额最高不超过300万元。上述支持资金由自治区重点产业发展专项资金安排。</w:t>
      </w:r>
      <w:r>
        <w:rPr>
          <w:rFonts w:hint="eastAsia" w:ascii="楷体" w:hAnsi="楷体" w:eastAsia="楷体" w:cs="楷体"/>
          <w:sz w:val="32"/>
          <w:szCs w:val="32"/>
        </w:rPr>
        <w:t>（自治区工业和信息化厅、财政厅负责）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四、支持制造业数字化、网络化、智能化改造</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仿宋" w:hAnsi="仿宋" w:eastAsia="仿宋" w:cs="仿宋"/>
          <w:sz w:val="32"/>
          <w:szCs w:val="32"/>
        </w:rPr>
        <w:t>（九）</w:t>
      </w:r>
      <w:r>
        <w:rPr>
          <w:rFonts w:hint="eastAsia" w:ascii="仿宋" w:hAnsi="仿宋" w:eastAsia="仿宋" w:cs="仿宋"/>
          <w:spacing w:val="6"/>
          <w:sz w:val="32"/>
          <w:szCs w:val="32"/>
        </w:rPr>
        <w:t>支持智能工厂、数字化车间项目建设。对智能工厂、</w:t>
      </w:r>
      <w:r>
        <w:rPr>
          <w:rFonts w:hint="eastAsia" w:ascii="仿宋" w:hAnsi="仿宋" w:eastAsia="仿宋" w:cs="仿宋"/>
          <w:sz w:val="32"/>
          <w:szCs w:val="32"/>
        </w:rPr>
        <w:t>数字化车间项目，按照实际完成设备投资额的20%、单个项目最高不超过500万元给予补助。支持高危、高强度生产环节“机器换人”，按照工业机器人购置费用的20%、单个项目最高不超过500万元给予补助。上述支持资金由自治区重点产业发展专项资金安排。</w:t>
      </w:r>
      <w:r>
        <w:rPr>
          <w:rFonts w:hint="eastAsia" w:ascii="楷体" w:hAnsi="楷体" w:eastAsia="楷体" w:cs="楷体"/>
          <w:sz w:val="32"/>
          <w:szCs w:val="32"/>
        </w:rPr>
        <w:t>（自治区工业和信息化厅、财政厅负责）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仿宋" w:hAnsi="仿宋" w:eastAsia="仿宋" w:cs="仿宋"/>
          <w:sz w:val="32"/>
          <w:szCs w:val="32"/>
        </w:rPr>
        <w:t>（十）对5G等新一代信息技术在工业领域的典型</w:t>
      </w:r>
      <w:r>
        <w:rPr>
          <w:rFonts w:hint="eastAsia" w:ascii="仿宋" w:hAnsi="仿宋" w:eastAsia="仿宋" w:cs="仿宋"/>
          <w:spacing w:val="-6"/>
          <w:sz w:val="32"/>
          <w:szCs w:val="32"/>
        </w:rPr>
        <w:t>应用场景项</w:t>
      </w:r>
      <w:r>
        <w:rPr>
          <w:rFonts w:hint="eastAsia" w:ascii="仿宋" w:hAnsi="仿宋" w:eastAsia="仿宋" w:cs="仿宋"/>
          <w:sz w:val="32"/>
          <w:szCs w:val="32"/>
        </w:rPr>
        <w:t>目，按照实际完成投资额的20%、单个项目最高不超过500万元给予奖补。通过国家“两化融合”管理体系标准贯标评定的企业，达到5A、4A、3A、2A、A的分别给予300万元、200万元、100万元、50万元、30万元一次性奖励。对新创建的区域级、行业级、企业级工业互联网平台，按照实际完成投资额的20%、单个项目最高不超过500万元、400万元、300万元给予奖补。对新建工业互联网标识解析二级节点且与国家顶级节点实现互联互通的企业，给予500万元一次性补助。对开展工业互联网标识解析创新应用的企业，依据应用效果给予补助，单个企业最高不超过300万元。上述支持资金由自治区重点产业发展专项资金安排。</w:t>
      </w:r>
      <w:r>
        <w:rPr>
          <w:rFonts w:hint="eastAsia" w:ascii="楷体" w:hAnsi="楷体" w:eastAsia="楷体" w:cs="楷体"/>
          <w:sz w:val="32"/>
          <w:szCs w:val="32"/>
        </w:rPr>
        <w:t>（自治区工业和信息化厅、财政厅负责）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仿宋" w:hAnsi="仿宋" w:eastAsia="仿宋" w:cs="仿宋"/>
          <w:sz w:val="32"/>
          <w:szCs w:val="32"/>
        </w:rPr>
        <w:t>（十一）建设涵盖企业运行、项目建设、能耗管控、污染监测等一体化、“全景式”园区管控平台，由自治区工业园区发展专项资金对单个园区给予最高不超过2000万元一次性奖补。</w:t>
      </w:r>
      <w:r>
        <w:rPr>
          <w:rFonts w:hint="eastAsia" w:ascii="楷体" w:hAnsi="楷体" w:eastAsia="楷体" w:cs="楷体"/>
          <w:sz w:val="32"/>
          <w:szCs w:val="32"/>
        </w:rPr>
        <w:t>（自治区工业和信息化厅、财政厅负责）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五、支持农牧业数字化转型</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仿宋" w:hAnsi="仿宋" w:eastAsia="仿宋" w:cs="仿宋"/>
          <w:sz w:val="32"/>
          <w:szCs w:val="32"/>
        </w:rPr>
        <w:t>（十二）积极推进数字乡村建设，推动内蒙古农牧大数据平台建设，鼓励开展高分北斗、物联网、人工智能、大数据、区块链等数字技术在农牧业生产、流通等各环节融合应用。鼓励市场主体利用互联网嫁接特色产业，发展农村电商、创意农业、观光农业、认养农业、分享农业等新业态，满足城乡居民消费升级需求。上述领域列入自治区数字经济重点项目名单的项目，由自治</w:t>
      </w:r>
      <w:r>
        <w:rPr>
          <w:rFonts w:hint="eastAsia" w:ascii="仿宋" w:hAnsi="仿宋" w:eastAsia="仿宋" w:cs="仿宋"/>
          <w:spacing w:val="6"/>
          <w:sz w:val="32"/>
          <w:szCs w:val="32"/>
        </w:rPr>
        <w:t>区数字经济发展专项资金给予支持。</w:t>
      </w:r>
      <w:r>
        <w:rPr>
          <w:rFonts w:hint="eastAsia" w:ascii="楷体" w:hAnsi="楷体" w:eastAsia="楷体" w:cs="楷体"/>
          <w:spacing w:val="6"/>
          <w:sz w:val="32"/>
          <w:szCs w:val="32"/>
        </w:rPr>
        <w:t>（自治区党委军民融合办、党委网信办、农牧厅、发展改革委、工业和信息化厅、财政厅、</w:t>
      </w:r>
      <w:r>
        <w:rPr>
          <w:rFonts w:hint="eastAsia" w:ascii="楷体" w:hAnsi="楷体" w:eastAsia="楷体" w:cs="楷体"/>
          <w:sz w:val="32"/>
          <w:szCs w:val="32"/>
        </w:rPr>
        <w:t>商务厅负责）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六、支持服务业数字化转型</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（十三）</w:t>
      </w:r>
      <w:r>
        <w:rPr>
          <w:rFonts w:hint="eastAsia" w:ascii="仿宋" w:hAnsi="仿宋" w:eastAsia="仿宋" w:cs="仿宋"/>
          <w:spacing w:val="-6"/>
          <w:sz w:val="32"/>
          <w:szCs w:val="32"/>
        </w:rPr>
        <w:t>鼓励企业利用5G、高分北斗、大数据、人工智能、</w:t>
      </w:r>
      <w:r>
        <w:rPr>
          <w:rFonts w:hint="eastAsia" w:ascii="仿宋" w:hAnsi="仿宋" w:eastAsia="仿宋" w:cs="仿宋"/>
          <w:sz w:val="32"/>
          <w:szCs w:val="32"/>
        </w:rPr>
        <w:t>物联网、云计算等新兴技术，在教育、医疗康养、文化旅游、交通设施、电子商务、智慧物流、文化创意、金融消费等服务领域开展数字技术融合应用，促进相关服务业及交通等基础设施数字化、智能化发展。上述领域列入自治区数字经济重点项目名单的项目，由自治区数字经济发展专项资金给予支持。</w:t>
      </w:r>
      <w:r>
        <w:rPr>
          <w:rFonts w:hint="eastAsia" w:ascii="楷体" w:hAnsi="楷体" w:eastAsia="楷体" w:cs="楷体"/>
          <w:sz w:val="32"/>
          <w:szCs w:val="32"/>
        </w:rPr>
        <w:t>（自治区教育厅、卫生健康委、文化和旅游厅、交通运输厅、商务厅、地方金融监管局、财政厅、发展改革委、工业和信息化厅负责）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七、支持政府数字化技术应用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仿宋" w:hAnsi="仿宋" w:eastAsia="仿宋" w:cs="仿宋"/>
          <w:sz w:val="32"/>
          <w:szCs w:val="32"/>
        </w:rPr>
        <w:t>（十四）推动各地区各部门在经济调节、生态保护、城市管理、公共服务、市场监管、政务运行等领域开展数字化应用创新，自治区本级政务信息化项目由自治区数字经济发展专项资金给予保障。</w:t>
      </w:r>
      <w:r>
        <w:rPr>
          <w:rFonts w:hint="eastAsia" w:ascii="楷体" w:hAnsi="楷体" w:eastAsia="楷体" w:cs="楷体"/>
          <w:sz w:val="32"/>
          <w:szCs w:val="32"/>
        </w:rPr>
        <w:t>（自治区发展改革委、财政厅负责）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八、支持数字科技创新</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仿宋" w:hAnsi="仿宋" w:eastAsia="仿宋" w:cs="仿宋"/>
          <w:sz w:val="32"/>
          <w:szCs w:val="32"/>
        </w:rPr>
        <w:t>（十五）支持自治区与国家部委共建数字技术创新平台，对各类创新平台实行动态管理，有进有出，择优支持。国家技术创新中心批准建设后，连续5年由自治区财政科技专项资金每年给予不低于3000万元的资金支持，国家级重点实验室、工程研究中心批准建设后，按照认定渠道，分别由自治区财政科技专项资金、自治区数字经济发展专项资金每年给予不低于1000万元的资金支持。</w:t>
      </w:r>
      <w:r>
        <w:rPr>
          <w:rFonts w:hint="eastAsia" w:ascii="楷体" w:hAnsi="楷体" w:eastAsia="楷体" w:cs="楷体"/>
          <w:sz w:val="32"/>
          <w:szCs w:val="32"/>
        </w:rPr>
        <w:t>（自治区科技厅、发展改革委、财政厅负责）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仿宋" w:hAnsi="仿宋" w:eastAsia="仿宋" w:cs="仿宋"/>
          <w:sz w:val="32"/>
          <w:szCs w:val="32"/>
        </w:rPr>
        <w:t>（十六）引导企业、高校、科研院所等创新主体加大研发投入力度，鼓励对数字科技创新成果进行市场化转化。对新获批的数字经济领域国家级和自治区级科技成果转移转化示范区，由自治区财政科技专项资金分别给予一次性最高500万元、200万元的资金支持。对自治区科技厅组织的绩效评价优秀的科技成果转</w:t>
      </w:r>
      <w:r>
        <w:rPr>
          <w:rFonts w:hint="eastAsia" w:ascii="仿宋" w:hAnsi="仿宋" w:eastAsia="仿宋" w:cs="仿宋"/>
          <w:spacing w:val="-6"/>
          <w:sz w:val="32"/>
          <w:szCs w:val="32"/>
        </w:rPr>
        <w:t>移转化示范基地、专业化技术研发与中试公共服务平台，由自治区财政科技专项资金给予后补助支持。</w:t>
      </w:r>
      <w:r>
        <w:rPr>
          <w:rFonts w:hint="eastAsia" w:ascii="楷体" w:hAnsi="楷体" w:eastAsia="楷体" w:cs="楷体"/>
          <w:spacing w:val="-6"/>
          <w:sz w:val="32"/>
          <w:szCs w:val="32"/>
        </w:rPr>
        <w:t>（自治区科技厅、财政厅负责）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仿宋" w:hAnsi="仿宋" w:eastAsia="仿宋" w:cs="仿宋"/>
          <w:sz w:val="32"/>
          <w:szCs w:val="32"/>
        </w:rPr>
        <w:t>（十七）推动规模以上数字经济企业加强研发机构建设，建立研发准备金制度，规范研发费用核算。按照企业上年度研发投入强度及增量增幅，由自治区财政科技专项资金给予补助，单个企业每年最高补助500万元用于技术研发。</w:t>
      </w:r>
      <w:r>
        <w:rPr>
          <w:rFonts w:hint="eastAsia" w:ascii="楷体" w:hAnsi="楷体" w:eastAsia="楷体" w:cs="楷体"/>
          <w:sz w:val="32"/>
          <w:szCs w:val="32"/>
        </w:rPr>
        <w:t>（自治区科技厅、财政厅负责）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仿宋" w:hAnsi="仿宋" w:eastAsia="仿宋" w:cs="仿宋"/>
          <w:sz w:val="32"/>
          <w:szCs w:val="32"/>
        </w:rPr>
        <w:t>（十八）鼓励企业或机构自主投资建设数字化转型</w:t>
      </w:r>
      <w:r>
        <w:rPr>
          <w:rFonts w:hint="eastAsia" w:ascii="仿宋" w:hAnsi="仿宋" w:eastAsia="仿宋" w:cs="仿宋"/>
          <w:spacing w:val="-6"/>
          <w:sz w:val="32"/>
          <w:szCs w:val="32"/>
        </w:rPr>
        <w:t>促进中心，</w:t>
      </w:r>
      <w:r>
        <w:rPr>
          <w:rFonts w:hint="eastAsia" w:ascii="仿宋" w:hAnsi="仿宋" w:eastAsia="仿宋" w:cs="仿宋"/>
          <w:sz w:val="32"/>
          <w:szCs w:val="32"/>
        </w:rPr>
        <w:t>为中小微企业提供转型咨询、解决方案、技术培训、资源对接等服务，经评估认定为优秀的，由自治区数字发展专项资金给予不超过100万元的后补助支持。</w:t>
      </w:r>
      <w:r>
        <w:rPr>
          <w:rFonts w:hint="eastAsia" w:ascii="楷体" w:hAnsi="楷体" w:eastAsia="楷体" w:cs="楷体"/>
          <w:sz w:val="32"/>
          <w:szCs w:val="32"/>
        </w:rPr>
        <w:t>（自治区发展改革委、财政厅负责）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九、加强人才队伍建设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仿宋" w:hAnsi="仿宋" w:eastAsia="仿宋" w:cs="仿宋"/>
          <w:sz w:val="32"/>
          <w:szCs w:val="32"/>
        </w:rPr>
        <w:t>（十九）加大院士后备人选和领军人才培养力度，对有潜力参选院士的高层次数字经济领军人才、行业领军人才，经评审遴选符合条件的，由自治区“草原英才”工程专项资金分别给予一次性500万元、300万元专项资助用于开展科研活动。加快引进数字经济重点领域创新型领军人才和创新团队，鼓励其申报自治区级以上重大人才工程、重大科技专项、重大研究课题、重大创</w:t>
      </w:r>
      <w:r>
        <w:rPr>
          <w:rFonts w:hint="eastAsia" w:ascii="仿宋" w:hAnsi="仿宋" w:eastAsia="仿宋" w:cs="仿宋"/>
          <w:spacing w:val="6"/>
          <w:sz w:val="32"/>
          <w:szCs w:val="32"/>
        </w:rPr>
        <w:t>新平台。</w:t>
      </w:r>
      <w:r>
        <w:rPr>
          <w:rFonts w:hint="eastAsia" w:ascii="楷体" w:hAnsi="楷体" w:eastAsia="楷体" w:cs="楷体"/>
          <w:spacing w:val="6"/>
          <w:sz w:val="32"/>
          <w:szCs w:val="32"/>
        </w:rPr>
        <w:t>（自治区党委组织部、科技厅、人力资源社会保障厅、</w:t>
      </w:r>
      <w:r>
        <w:rPr>
          <w:rFonts w:hint="eastAsia" w:ascii="楷体" w:hAnsi="楷体" w:eastAsia="楷体" w:cs="楷体"/>
          <w:sz w:val="32"/>
          <w:szCs w:val="32"/>
        </w:rPr>
        <w:t>财政厅负责）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十、支持数字经济领域小规模纳税人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仿宋" w:hAnsi="仿宋" w:eastAsia="仿宋" w:cs="仿宋"/>
          <w:sz w:val="32"/>
          <w:szCs w:val="32"/>
        </w:rPr>
        <w:t>（二十）支持短视频平台、微创新、微应用、微产品、微电影等新个体经济发展，对自治区上述数字经济领域的自然人，按照增值税优惠政策享受税收减免政策。</w:t>
      </w:r>
      <w:r>
        <w:rPr>
          <w:rFonts w:hint="eastAsia" w:ascii="楷体" w:hAnsi="楷体" w:eastAsia="楷体" w:cs="楷体"/>
          <w:sz w:val="32"/>
          <w:szCs w:val="32"/>
        </w:rPr>
        <w:t>（内蒙古税务局负责）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仿宋" w:hAnsi="仿宋" w:eastAsia="仿宋" w:cs="仿宋"/>
          <w:sz w:val="32"/>
          <w:szCs w:val="32"/>
        </w:rPr>
        <w:t>（二十一）对信息技术企业中增值税小规模纳税人按照50%</w:t>
      </w:r>
      <w:r>
        <w:rPr>
          <w:rFonts w:hint="eastAsia" w:ascii="仿宋" w:hAnsi="仿宋" w:eastAsia="仿宋" w:cs="仿宋"/>
          <w:spacing w:val="6"/>
          <w:sz w:val="32"/>
          <w:szCs w:val="32"/>
        </w:rPr>
        <w:t>的幅度减征资源税（不含水资源税）、城市建设维护费、房产税、城镇土地使用税、印花税（不含证券交易印花税）、耕地占用税、</w:t>
      </w:r>
      <w:r>
        <w:rPr>
          <w:rFonts w:hint="eastAsia" w:ascii="仿宋" w:hAnsi="仿宋" w:eastAsia="仿宋" w:cs="仿宋"/>
          <w:sz w:val="32"/>
          <w:szCs w:val="32"/>
        </w:rPr>
        <w:t>教育费附加、地方教育附加。</w:t>
      </w:r>
      <w:r>
        <w:rPr>
          <w:rFonts w:hint="eastAsia" w:ascii="楷体" w:hAnsi="楷体" w:eastAsia="楷体" w:cs="楷体"/>
          <w:sz w:val="32"/>
          <w:szCs w:val="32"/>
        </w:rPr>
        <w:t>（内蒙古税务局负责）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十一、拓宽企业融资渠道</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十二）鼓励数字经济企业上市挂牌，对自治区数字经济企业，按照《内蒙古自治区人民政府办公厅关于印发内蒙古自治区鼓励企业上市挂牌奖补办法的通知》（内政办发〔2021〕38号）、《内蒙古自治区人民政府办公厅关于修改内政办发〔2021〕38号文件相关内容的通知》（内政办字〔2021〕92号）相关要求给予企业上市奖补。</w:t>
      </w:r>
      <w:r>
        <w:rPr>
          <w:rFonts w:hint="eastAsia" w:ascii="楷体" w:hAnsi="楷体" w:eastAsia="楷体" w:cs="楷体"/>
          <w:sz w:val="32"/>
          <w:szCs w:val="32"/>
        </w:rPr>
        <w:t>（自治区地方金融监管局、财政厅负责）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仿宋" w:hAnsi="仿宋" w:eastAsia="仿宋" w:cs="仿宋"/>
          <w:sz w:val="32"/>
          <w:szCs w:val="32"/>
        </w:rPr>
        <w:t>（二十三）发挥自治区重点产业发展引导基金的作用，积极引导国内外电子信息、软件、互联网等行业龙头企业在自治区落地项目。</w:t>
      </w:r>
      <w:r>
        <w:rPr>
          <w:rFonts w:hint="eastAsia" w:ascii="楷体" w:hAnsi="楷体" w:eastAsia="楷体" w:cs="楷体"/>
          <w:sz w:val="32"/>
          <w:szCs w:val="32"/>
        </w:rPr>
        <w:t>（自治区财政厅负责）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仿宋" w:hAnsi="仿宋" w:eastAsia="仿宋" w:cs="仿宋"/>
          <w:sz w:val="32"/>
          <w:szCs w:val="32"/>
        </w:rPr>
        <w:t>（二十四）对自治区数字经济领域具有引领性、牵引性的重大项目采取一事一议的方式重点支持。</w:t>
      </w:r>
      <w:r>
        <w:rPr>
          <w:rFonts w:hint="eastAsia" w:ascii="楷体" w:hAnsi="楷体" w:eastAsia="楷体" w:cs="楷体"/>
          <w:sz w:val="32"/>
          <w:szCs w:val="32"/>
        </w:rPr>
        <w:t>（自治区发展改革委负责）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上述相关支持政策依据负责部门的实施细则具体执行，各资金及政策主管部门要做好资金、政策及部门职责分工的衔接，明确具体申请条件、审批程序等实施细则并向社会公布，便于相关主体了解申报流程和具体要求，确保本政策相关部署落地见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tabs>
          <w:tab w:val="left" w:pos="7560"/>
        </w:tabs>
        <w:kinsoku/>
        <w:wordWrap/>
        <w:overflowPunct/>
        <w:topLinePunct/>
        <w:autoSpaceDE/>
        <w:autoSpaceDN/>
        <w:bidi w:val="0"/>
        <w:adjustRightInd/>
        <w:snapToGrid/>
        <w:spacing w:line="580" w:lineRule="exact"/>
        <w:ind w:firstLine="5120" w:firstLineChars="1600"/>
        <w:textAlignment w:val="auto"/>
        <w:rPr>
          <w:rFonts w:hint="eastAsia" w:ascii="仿宋" w:hAnsi="仿宋" w:eastAsia="仿宋" w:cs="仿宋"/>
          <w:sz w:val="32"/>
          <w:szCs w:val="32"/>
        </w:rPr>
      </w:pPr>
      <w:r>
        <w:rPr>
          <w:rFonts w:hint="eastAsia" w:ascii="仿宋" w:hAnsi="仿宋" w:eastAsia="仿宋" w:cs="仿宋"/>
          <w:sz w:val="32"/>
          <w:szCs w:val="32"/>
        </w:rPr>
        <w:t>2022年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（此件公开发布）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1"/>
          <w:szCs w:val="21"/>
        </w:rPr>
      </w:pPr>
    </w:p>
    <w:p>
      <w:pPr>
        <w:pStyle w:val="6"/>
        <w:tabs>
          <w:tab w:val="left" w:pos="7560"/>
        </w:tabs>
        <w:wordWrap w:val="0"/>
        <w:ind w:left="4520" w:leftChars="2058" w:hanging="198" w:hangingChars="62"/>
        <w:jc w:val="right"/>
        <w:rPr>
          <w:rFonts w:hint="eastAsia" w:ascii="黑体" w:eastAsia="黑体"/>
        </w:rPr>
      </w:pPr>
    </w:p>
    <w:p>
      <w:pPr>
        <w:wordWrap/>
        <w:rPr>
          <w:rFonts w:hint="eastAsia" w:ascii="黑体" w:eastAsia="黑体"/>
        </w:rPr>
      </w:pPr>
    </w:p>
    <w:bookmarkEnd w:id="1"/>
    <w:p>
      <w:pPr>
        <w:wordWrap/>
        <w:rPr>
          <w:rFonts w:hint="eastAsia" w:ascii="黑体" w:eastAsia="黑体"/>
        </w:rPr>
      </w:pPr>
    </w:p>
    <w:p>
      <w:pPr>
        <w:wordWrap/>
        <w:rPr>
          <w:rFonts w:hint="eastAsia" w:ascii="黑体" w:eastAsia="黑体"/>
        </w:rPr>
      </w:pPr>
    </w:p>
    <w:p>
      <w:pPr>
        <w:wordWrap/>
        <w:rPr>
          <w:rFonts w:hint="eastAsia" w:ascii="黑体" w:eastAsia="黑体"/>
        </w:rPr>
      </w:pPr>
    </w:p>
    <w:p>
      <w:pPr>
        <w:wordWrap/>
        <w:rPr>
          <w:rFonts w:hint="eastAsia" w:ascii="黑体" w:eastAsia="黑体"/>
        </w:rPr>
      </w:pPr>
    </w:p>
    <w:p>
      <w:pPr>
        <w:wordWrap/>
        <w:rPr>
          <w:rFonts w:hint="eastAsia" w:ascii="黑体" w:eastAsia="黑体"/>
        </w:rPr>
      </w:pPr>
    </w:p>
    <w:p>
      <w:pPr>
        <w:wordWrap/>
        <w:rPr>
          <w:rFonts w:hint="eastAsia" w:ascii="黑体" w:eastAsia="黑体"/>
        </w:rPr>
      </w:pPr>
    </w:p>
    <w:tbl>
      <w:tblPr>
        <w:tblStyle w:val="11"/>
        <w:tblpPr w:leftFromText="180" w:rightFromText="180" w:vertAnchor="text" w:horzAnchor="page" w:tblpXSpec="center" w:tblpY="310"/>
        <w:tblOverlap w:val="never"/>
        <w:tblW w:w="9024"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2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2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textAlignment w:val="auto"/>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24" w:type="dxa"/>
            <w:noWrap w:val="0"/>
            <w:vAlign w:val="top"/>
          </w:tcPr>
          <w:p>
            <w:pPr>
              <w:keepNext w:val="0"/>
              <w:keepLines w:val="0"/>
              <w:pageBreakBefore w:val="0"/>
              <w:widowControl w:val="0"/>
              <w:kinsoku/>
              <w:wordWrap/>
              <w:overflowPunct/>
              <w:topLinePunct w:val="0"/>
              <w:autoSpaceDE/>
              <w:autoSpaceDN/>
              <w:bidi w:val="0"/>
              <w:adjustRightInd/>
              <w:snapToGrid/>
              <w:ind w:left="210" w:leftChars="100" w:right="210" w:rightChars="100"/>
              <w:textAlignment w:val="auto"/>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202</w:t>
            </w:r>
            <w:r>
              <w:rPr>
                <w:rFonts w:hint="eastAsia" w:ascii="仿宋_GB2312" w:eastAsia="仿宋_GB2312"/>
                <w:sz w:val="28"/>
                <w:lang w:val="en-US" w:eastAsia="zh-CN"/>
              </w:rPr>
              <w:t>2</w:t>
            </w:r>
            <w:r>
              <w:rPr>
                <w:rFonts w:hint="eastAsia" w:ascii="仿宋_GB2312" w:eastAsia="仿宋_GB2312"/>
                <w:sz w:val="28"/>
              </w:rPr>
              <w:t>年</w:t>
            </w:r>
            <w:r>
              <w:rPr>
                <w:rFonts w:hint="eastAsia" w:ascii="仿宋_GB2312" w:eastAsia="仿宋_GB2312"/>
                <w:sz w:val="28"/>
                <w:lang w:val="en-US" w:eastAsia="zh-CN"/>
              </w:rPr>
              <w:t>12</w:t>
            </w:r>
            <w:r>
              <w:rPr>
                <w:rFonts w:hint="eastAsia" w:ascii="仿宋_GB2312" w:eastAsia="仿宋_GB2312"/>
                <w:sz w:val="28"/>
              </w:rPr>
              <w:t>月</w:t>
            </w:r>
            <w:r>
              <w:rPr>
                <w:rFonts w:hint="eastAsia" w:ascii="仿宋_GB2312" w:eastAsia="仿宋_GB2312"/>
                <w:sz w:val="28"/>
                <w:lang w:val="en-US" w:eastAsia="zh-CN"/>
              </w:rPr>
              <w:t>29</w:t>
            </w:r>
            <w:r>
              <w:rPr>
                <w:rFonts w:hint="eastAsia" w:ascii="仿宋_GB2312" w:eastAsia="仿宋_GB2312"/>
                <w:sz w:val="28"/>
              </w:rPr>
              <w:t>日印发</w:t>
            </w:r>
          </w:p>
        </w:tc>
      </w:tr>
    </w:tbl>
    <w:p>
      <w:pPr>
        <w:spacing w:line="20" w:lineRule="exact"/>
        <w:rPr>
          <w:rFonts w:hint="eastAsia"/>
        </w:rPr>
      </w:pPr>
      <w:r>
        <w:rPr>
          <w:sz w:val="21"/>
        </w:rPr>
        <mc:AlternateContent>
          <mc:Choice Requires="wps">
            <w:drawing>
              <wp:anchor distT="0" distB="0" distL="114300" distR="114300" simplePos="0" relativeHeight="251659264" behindDoc="0" locked="0" layoutInCell="1" allowOverlap="1">
                <wp:simplePos x="0" y="0"/>
                <wp:positionH relativeFrom="column">
                  <wp:posOffset>4956810</wp:posOffset>
                </wp:positionH>
                <wp:positionV relativeFrom="paragraph">
                  <wp:posOffset>1703070</wp:posOffset>
                </wp:positionV>
                <wp:extent cx="675005" cy="346075"/>
                <wp:effectExtent l="4445" t="4445" r="6350" b="11430"/>
                <wp:wrapNone/>
                <wp:docPr id="1" name="矩形 6"/>
                <wp:cNvGraphicFramePr/>
                <a:graphic xmlns:a="http://schemas.openxmlformats.org/drawingml/2006/main">
                  <a:graphicData uri="http://schemas.microsoft.com/office/word/2010/wordprocessingShape">
                    <wps:wsp>
                      <wps:cNvSpPr/>
                      <wps:spPr>
                        <a:xfrm>
                          <a:off x="0" y="0"/>
                          <a:ext cx="675005" cy="346075"/>
                        </a:xfrm>
                        <a:prstGeom prst="rect">
                          <a:avLst/>
                        </a:prstGeom>
                        <a:solidFill>
                          <a:srgbClr val="FFFFFF"/>
                        </a:solidFill>
                        <a:ln w="9525" cap="flat" cmpd="sng">
                          <a:solidFill>
                            <a:srgbClr val="FFFFFF"/>
                          </a:solidFill>
                          <a:prstDash val="solid"/>
                          <a:miter/>
                          <a:headEnd type="none" w="med" len="med"/>
                          <a:tailEnd type="none" w="med" len="med"/>
                        </a:ln>
                      </wps:spPr>
                      <wps:bodyPr vert="horz" wrap="square" anchor="t" anchorCtr="0" upright="1"/>
                    </wps:wsp>
                  </a:graphicData>
                </a:graphic>
              </wp:anchor>
            </w:drawing>
          </mc:Choice>
          <mc:Fallback>
            <w:pict>
              <v:rect id="矩形 6" o:spid="_x0000_s1026" o:spt="1" style="position:absolute;left:0pt;margin-left:390.3pt;margin-top:134.1pt;height:27.25pt;width:53.15pt;z-index:251659264;mso-width-relative:page;mso-height-relative:page;" fillcolor="#FFFFFF" filled="t" stroked="t" coordsize="21600,21600" o:gfxdata="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yJRW52QAAAAsBAAAPAAAAAAAAAAEAIAAAACIAAABkcnMvZG93bnJldi54&#10;bWxQSwECFAAUAAAACACHTuJAgMvFdPkBAAACBAAADgAAAAAAAAABACAAAAAoAQAAZHJzL2Uyb0Rv&#10;Yy54bWxQSwUGAAAAAAYABgBZAQAAkwUAAAAA&#10;">
                <v:fill on="t" focussize="0,0"/>
                <v:stroke color="#FFFFFF" joinstyle="miter"/>
                <v:imagedata o:title=""/>
                <o:lock v:ext="edit" aspectratio="f"/>
              </v:rect>
            </w:pict>
          </mc:Fallback>
        </mc:AlternateContent>
      </w: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1" w:usb1="080E0000" w:usb2="00000000" w:usb3="00000000" w:csb0="00040000"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9452" w:y="-23"/>
      <w:rPr>
        <w:rStyle w:val="14"/>
        <w:rFonts w:hint="eastAsia" w:ascii="宋体" w:hAnsi="宋体"/>
        <w:sz w:val="28"/>
        <w:szCs w:val="28"/>
      </w:rPr>
    </w:pPr>
    <w:r>
      <w:rPr>
        <w:rFonts w:hint="eastAsia" w:ascii="宋体" w:hAnsi="宋体"/>
        <w:sz w:val="28"/>
        <w:szCs w:val="28"/>
      </w:rPr>
      <w:fldChar w:fldCharType="begin"/>
    </w:r>
    <w:r>
      <w:rPr>
        <w:rStyle w:val="14"/>
        <w:rFonts w:hint="eastAsia" w:ascii="宋体" w:hAnsi="宋体"/>
        <w:sz w:val="28"/>
        <w:szCs w:val="28"/>
      </w:rPr>
      <w:instrText xml:space="preserve">PAGE  </w:instrText>
    </w:r>
    <w:r>
      <w:rPr>
        <w:rFonts w:hint="eastAsia" w:ascii="宋体" w:hAnsi="宋体"/>
        <w:sz w:val="28"/>
        <w:szCs w:val="28"/>
      </w:rPr>
      <w:fldChar w:fldCharType="separate"/>
    </w:r>
    <w:r>
      <w:rPr>
        <w:rStyle w:val="14"/>
        <w:rFonts w:ascii="宋体" w:hAnsi="宋体"/>
        <w:sz w:val="28"/>
        <w:szCs w:val="28"/>
        <w:lang/>
      </w:rPr>
      <w:t>- 1 -</w:t>
    </w:r>
    <w:r>
      <w:rPr>
        <w:rFonts w:hint="eastAsia" w:ascii="宋体" w:hAnsi="宋体"/>
        <w:sz w:val="28"/>
        <w:szCs w:val="28"/>
      </w:rP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1892" w:y="-23"/>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lang/>
      </w:rPr>
      <w:t>- 2 -</w:t>
    </w:r>
    <w:r>
      <w:rPr>
        <w:rFonts w:ascii="宋体" w:hAnsi="宋体"/>
        <w:sz w:val="28"/>
        <w:szCs w:val="28"/>
      </w:rP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17C"/>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316E"/>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1DB8"/>
    <w:rsid w:val="001B2E25"/>
    <w:rsid w:val="001B36FF"/>
    <w:rsid w:val="001B6A85"/>
    <w:rsid w:val="001C0E2E"/>
    <w:rsid w:val="001C21AB"/>
    <w:rsid w:val="001C291D"/>
    <w:rsid w:val="001C2E2C"/>
    <w:rsid w:val="001C2FB0"/>
    <w:rsid w:val="001C3230"/>
    <w:rsid w:val="001C4131"/>
    <w:rsid w:val="001C472D"/>
    <w:rsid w:val="001D0723"/>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502FA"/>
    <w:rsid w:val="002508F6"/>
    <w:rsid w:val="002516F7"/>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C7FAF"/>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09D1"/>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A66EC"/>
    <w:rsid w:val="003B1AA3"/>
    <w:rsid w:val="003B32B0"/>
    <w:rsid w:val="003B59D9"/>
    <w:rsid w:val="003C0C2B"/>
    <w:rsid w:val="003C1EB9"/>
    <w:rsid w:val="003C3249"/>
    <w:rsid w:val="003C3EA0"/>
    <w:rsid w:val="003C419C"/>
    <w:rsid w:val="003C41EC"/>
    <w:rsid w:val="003C4942"/>
    <w:rsid w:val="003D01EF"/>
    <w:rsid w:val="003D14CC"/>
    <w:rsid w:val="003D3B34"/>
    <w:rsid w:val="003D46AE"/>
    <w:rsid w:val="003D6174"/>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211A"/>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B71C1"/>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E7"/>
    <w:rsid w:val="0063404D"/>
    <w:rsid w:val="00634F1B"/>
    <w:rsid w:val="00637C57"/>
    <w:rsid w:val="00640710"/>
    <w:rsid w:val="00642967"/>
    <w:rsid w:val="00643C82"/>
    <w:rsid w:val="00650291"/>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24460"/>
    <w:rsid w:val="00730BED"/>
    <w:rsid w:val="007327B6"/>
    <w:rsid w:val="00737112"/>
    <w:rsid w:val="007375F9"/>
    <w:rsid w:val="007377CC"/>
    <w:rsid w:val="007418CF"/>
    <w:rsid w:val="007443AD"/>
    <w:rsid w:val="00745BA7"/>
    <w:rsid w:val="00745F2F"/>
    <w:rsid w:val="007469D2"/>
    <w:rsid w:val="0075198B"/>
    <w:rsid w:val="007543DE"/>
    <w:rsid w:val="00756068"/>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7F6516"/>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440"/>
    <w:rsid w:val="00933AD4"/>
    <w:rsid w:val="00935D37"/>
    <w:rsid w:val="00936389"/>
    <w:rsid w:val="009367C7"/>
    <w:rsid w:val="0094058F"/>
    <w:rsid w:val="00940633"/>
    <w:rsid w:val="009413D6"/>
    <w:rsid w:val="009418C7"/>
    <w:rsid w:val="00942DC2"/>
    <w:rsid w:val="009433EF"/>
    <w:rsid w:val="00943770"/>
    <w:rsid w:val="0094465F"/>
    <w:rsid w:val="009446AB"/>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01BD"/>
    <w:rsid w:val="009A1E22"/>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658F"/>
    <w:rsid w:val="00A16646"/>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363"/>
    <w:rsid w:val="00A42678"/>
    <w:rsid w:val="00A44782"/>
    <w:rsid w:val="00A51056"/>
    <w:rsid w:val="00A52ADA"/>
    <w:rsid w:val="00A54A96"/>
    <w:rsid w:val="00A55F01"/>
    <w:rsid w:val="00A5779D"/>
    <w:rsid w:val="00A57AB0"/>
    <w:rsid w:val="00A62053"/>
    <w:rsid w:val="00A66B95"/>
    <w:rsid w:val="00A67E61"/>
    <w:rsid w:val="00A72406"/>
    <w:rsid w:val="00A746B2"/>
    <w:rsid w:val="00A74FC4"/>
    <w:rsid w:val="00A8034A"/>
    <w:rsid w:val="00A81344"/>
    <w:rsid w:val="00A8144C"/>
    <w:rsid w:val="00A82198"/>
    <w:rsid w:val="00A85729"/>
    <w:rsid w:val="00A85F2C"/>
    <w:rsid w:val="00A869B9"/>
    <w:rsid w:val="00A871E1"/>
    <w:rsid w:val="00A872AA"/>
    <w:rsid w:val="00A87303"/>
    <w:rsid w:val="00A91C4C"/>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0AE"/>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55D3"/>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6F3"/>
    <w:rsid w:val="00B40DCF"/>
    <w:rsid w:val="00B41574"/>
    <w:rsid w:val="00B43C7B"/>
    <w:rsid w:val="00B4489A"/>
    <w:rsid w:val="00B4656E"/>
    <w:rsid w:val="00B47AB4"/>
    <w:rsid w:val="00B509ED"/>
    <w:rsid w:val="00B51750"/>
    <w:rsid w:val="00B54162"/>
    <w:rsid w:val="00B542D3"/>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1E82"/>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4245"/>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25E7"/>
    <w:rsid w:val="00CB3AE8"/>
    <w:rsid w:val="00CB3EA3"/>
    <w:rsid w:val="00CB5D2C"/>
    <w:rsid w:val="00CC14E4"/>
    <w:rsid w:val="00CC223A"/>
    <w:rsid w:val="00CC2443"/>
    <w:rsid w:val="00CD1675"/>
    <w:rsid w:val="00CD399D"/>
    <w:rsid w:val="00CD4642"/>
    <w:rsid w:val="00CD5308"/>
    <w:rsid w:val="00CD74E1"/>
    <w:rsid w:val="00CE2266"/>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9F4"/>
    <w:rsid w:val="00DB6B93"/>
    <w:rsid w:val="00DB6C2C"/>
    <w:rsid w:val="00DC0A4B"/>
    <w:rsid w:val="00DC0E9B"/>
    <w:rsid w:val="00DC21CC"/>
    <w:rsid w:val="00DC73F9"/>
    <w:rsid w:val="00DC7CCD"/>
    <w:rsid w:val="00DD19B7"/>
    <w:rsid w:val="00DD22BC"/>
    <w:rsid w:val="00DD2998"/>
    <w:rsid w:val="00DE279C"/>
    <w:rsid w:val="00DE52B4"/>
    <w:rsid w:val="00DE605E"/>
    <w:rsid w:val="00DF14B1"/>
    <w:rsid w:val="00DF1A59"/>
    <w:rsid w:val="00DF35B5"/>
    <w:rsid w:val="00DF5F69"/>
    <w:rsid w:val="00DF641D"/>
    <w:rsid w:val="00DF6480"/>
    <w:rsid w:val="00DF761C"/>
    <w:rsid w:val="00E0152C"/>
    <w:rsid w:val="00E05300"/>
    <w:rsid w:val="00E06B2D"/>
    <w:rsid w:val="00E06E06"/>
    <w:rsid w:val="00E108C6"/>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A7412"/>
    <w:rsid w:val="00EB67DA"/>
    <w:rsid w:val="00EC29B6"/>
    <w:rsid w:val="00EC2E26"/>
    <w:rsid w:val="00EC6399"/>
    <w:rsid w:val="00EC7B6C"/>
    <w:rsid w:val="00ED00C1"/>
    <w:rsid w:val="00ED059D"/>
    <w:rsid w:val="00ED11DD"/>
    <w:rsid w:val="00ED3579"/>
    <w:rsid w:val="00ED36C0"/>
    <w:rsid w:val="00ED6C3E"/>
    <w:rsid w:val="00ED6EE5"/>
    <w:rsid w:val="00ED7646"/>
    <w:rsid w:val="00ED7EF1"/>
    <w:rsid w:val="00EE610D"/>
    <w:rsid w:val="00EE642A"/>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6718F"/>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C5B33"/>
    <w:rsid w:val="00FD314F"/>
    <w:rsid w:val="00FD3F68"/>
    <w:rsid w:val="00FD6099"/>
    <w:rsid w:val="00FD668C"/>
    <w:rsid w:val="00FD6BBF"/>
    <w:rsid w:val="00FD707C"/>
    <w:rsid w:val="00FE51BD"/>
    <w:rsid w:val="00FE5DC3"/>
    <w:rsid w:val="00FF1779"/>
    <w:rsid w:val="00FF1915"/>
    <w:rsid w:val="00FF2340"/>
    <w:rsid w:val="00FF60C7"/>
    <w:rsid w:val="00FF7392"/>
    <w:rsid w:val="011410E7"/>
    <w:rsid w:val="02F32228"/>
    <w:rsid w:val="030C5A8C"/>
    <w:rsid w:val="043D4CEA"/>
    <w:rsid w:val="04D871BC"/>
    <w:rsid w:val="04D88810"/>
    <w:rsid w:val="05E7D047"/>
    <w:rsid w:val="061BB259"/>
    <w:rsid w:val="06B9C5AE"/>
    <w:rsid w:val="06E26819"/>
    <w:rsid w:val="07177643"/>
    <w:rsid w:val="083A6877"/>
    <w:rsid w:val="09FDDA13"/>
    <w:rsid w:val="0CEFAD81"/>
    <w:rsid w:val="0F6E701B"/>
    <w:rsid w:val="0FEF32CA"/>
    <w:rsid w:val="11095B8B"/>
    <w:rsid w:val="13685B29"/>
    <w:rsid w:val="16036302"/>
    <w:rsid w:val="16A022AB"/>
    <w:rsid w:val="183A0C99"/>
    <w:rsid w:val="19F2FD9E"/>
    <w:rsid w:val="1A9D6449"/>
    <w:rsid w:val="1B1943B2"/>
    <w:rsid w:val="1BFF9D70"/>
    <w:rsid w:val="1CF5A346"/>
    <w:rsid w:val="1CF777BC"/>
    <w:rsid w:val="1DD11934"/>
    <w:rsid w:val="1ED24BFE"/>
    <w:rsid w:val="1F25792E"/>
    <w:rsid w:val="1F48029C"/>
    <w:rsid w:val="1F5ACD78"/>
    <w:rsid w:val="1FBCD34A"/>
    <w:rsid w:val="2023B597"/>
    <w:rsid w:val="211A6E23"/>
    <w:rsid w:val="21E34A94"/>
    <w:rsid w:val="253F11F1"/>
    <w:rsid w:val="25984E90"/>
    <w:rsid w:val="267E03D3"/>
    <w:rsid w:val="26C82B97"/>
    <w:rsid w:val="26D846AB"/>
    <w:rsid w:val="273E7C3F"/>
    <w:rsid w:val="28B640A0"/>
    <w:rsid w:val="2A615292"/>
    <w:rsid w:val="2AC718BC"/>
    <w:rsid w:val="2C373268"/>
    <w:rsid w:val="2D7B04F4"/>
    <w:rsid w:val="2D7F253F"/>
    <w:rsid w:val="2E84799A"/>
    <w:rsid w:val="2F314E0D"/>
    <w:rsid w:val="2F49EEA1"/>
    <w:rsid w:val="2F7E1441"/>
    <w:rsid w:val="2F7E5D2A"/>
    <w:rsid w:val="2FF4C581"/>
    <w:rsid w:val="32D75A45"/>
    <w:rsid w:val="3372EABD"/>
    <w:rsid w:val="33CE5715"/>
    <w:rsid w:val="370A6D13"/>
    <w:rsid w:val="37176C77"/>
    <w:rsid w:val="38B74AA2"/>
    <w:rsid w:val="391A1561"/>
    <w:rsid w:val="399E0F98"/>
    <w:rsid w:val="3A4E2F34"/>
    <w:rsid w:val="3B2B9426"/>
    <w:rsid w:val="3BA9148D"/>
    <w:rsid w:val="3C6B26BF"/>
    <w:rsid w:val="3DDFD074"/>
    <w:rsid w:val="3E2866CC"/>
    <w:rsid w:val="3EF91735"/>
    <w:rsid w:val="3F6E47D6"/>
    <w:rsid w:val="3F7623E4"/>
    <w:rsid w:val="3FDF6B80"/>
    <w:rsid w:val="400B1FA4"/>
    <w:rsid w:val="41572CF3"/>
    <w:rsid w:val="41D75940"/>
    <w:rsid w:val="44A230AC"/>
    <w:rsid w:val="45E1B71D"/>
    <w:rsid w:val="465327CE"/>
    <w:rsid w:val="48413FB8"/>
    <w:rsid w:val="48A045AB"/>
    <w:rsid w:val="4AA92AAA"/>
    <w:rsid w:val="4D1709C3"/>
    <w:rsid w:val="4DFA9B5E"/>
    <w:rsid w:val="4DFF3CF5"/>
    <w:rsid w:val="4F6A2AE2"/>
    <w:rsid w:val="4F6C7A63"/>
    <w:rsid w:val="4F7FD7A0"/>
    <w:rsid w:val="4FBF179C"/>
    <w:rsid w:val="51796035"/>
    <w:rsid w:val="51F47F4E"/>
    <w:rsid w:val="52DB0F0C"/>
    <w:rsid w:val="534D8862"/>
    <w:rsid w:val="540F0375"/>
    <w:rsid w:val="55005FE8"/>
    <w:rsid w:val="55742033"/>
    <w:rsid w:val="56E9069F"/>
    <w:rsid w:val="57964E62"/>
    <w:rsid w:val="57CC07EF"/>
    <w:rsid w:val="57FD6552"/>
    <w:rsid w:val="58135360"/>
    <w:rsid w:val="59FF1797"/>
    <w:rsid w:val="5C957B5A"/>
    <w:rsid w:val="5DC12740"/>
    <w:rsid w:val="5DEFCF4E"/>
    <w:rsid w:val="5E003C85"/>
    <w:rsid w:val="5E7F1980"/>
    <w:rsid w:val="5EED7F2D"/>
    <w:rsid w:val="5F45041F"/>
    <w:rsid w:val="5F9FFD80"/>
    <w:rsid w:val="5FB7A998"/>
    <w:rsid w:val="5FBDF652"/>
    <w:rsid w:val="5FE3CF35"/>
    <w:rsid w:val="5FFB595E"/>
    <w:rsid w:val="60A76D6C"/>
    <w:rsid w:val="61AF84AD"/>
    <w:rsid w:val="61FBDC03"/>
    <w:rsid w:val="629305FB"/>
    <w:rsid w:val="63D36A91"/>
    <w:rsid w:val="63F64E04"/>
    <w:rsid w:val="64534EE8"/>
    <w:rsid w:val="65491981"/>
    <w:rsid w:val="66B8BC16"/>
    <w:rsid w:val="66BFC5ED"/>
    <w:rsid w:val="67D72C25"/>
    <w:rsid w:val="67DFD196"/>
    <w:rsid w:val="6A1C2667"/>
    <w:rsid w:val="6AA72DD6"/>
    <w:rsid w:val="6BAD3878"/>
    <w:rsid w:val="6C60119C"/>
    <w:rsid w:val="6D7D9542"/>
    <w:rsid w:val="6DBFA5AB"/>
    <w:rsid w:val="6DD7DFB4"/>
    <w:rsid w:val="6DDBD995"/>
    <w:rsid w:val="6DFA1037"/>
    <w:rsid w:val="6ECF23D3"/>
    <w:rsid w:val="6ED704DB"/>
    <w:rsid w:val="6EDD405E"/>
    <w:rsid w:val="6F558162"/>
    <w:rsid w:val="6F6BB42F"/>
    <w:rsid w:val="6F6FB907"/>
    <w:rsid w:val="6F77F86E"/>
    <w:rsid w:val="6FBEC5EE"/>
    <w:rsid w:val="6FC7998D"/>
    <w:rsid w:val="6FCD9009"/>
    <w:rsid w:val="6FFB0F1A"/>
    <w:rsid w:val="6FFB61E7"/>
    <w:rsid w:val="6FFCF42D"/>
    <w:rsid w:val="6FFE2803"/>
    <w:rsid w:val="71302A07"/>
    <w:rsid w:val="71F79CFE"/>
    <w:rsid w:val="722D19B3"/>
    <w:rsid w:val="728F1E7C"/>
    <w:rsid w:val="72D52371"/>
    <w:rsid w:val="73FD4043"/>
    <w:rsid w:val="754E097E"/>
    <w:rsid w:val="75BF4AF8"/>
    <w:rsid w:val="75DF841A"/>
    <w:rsid w:val="75FF5C46"/>
    <w:rsid w:val="769F7AB2"/>
    <w:rsid w:val="77A98C6C"/>
    <w:rsid w:val="77AC53BB"/>
    <w:rsid w:val="77BD2FF9"/>
    <w:rsid w:val="77F40CE0"/>
    <w:rsid w:val="77FA452E"/>
    <w:rsid w:val="77FBD457"/>
    <w:rsid w:val="77FEB4D8"/>
    <w:rsid w:val="77FFD830"/>
    <w:rsid w:val="787B9272"/>
    <w:rsid w:val="78BB0674"/>
    <w:rsid w:val="79EB0860"/>
    <w:rsid w:val="79FCD1A0"/>
    <w:rsid w:val="79FF8C2B"/>
    <w:rsid w:val="79FFE658"/>
    <w:rsid w:val="7A7F2728"/>
    <w:rsid w:val="7AA226C9"/>
    <w:rsid w:val="7AD213EE"/>
    <w:rsid w:val="7AD3CFCA"/>
    <w:rsid w:val="7B76544A"/>
    <w:rsid w:val="7B79A89C"/>
    <w:rsid w:val="7BBF55F8"/>
    <w:rsid w:val="7BCA12D8"/>
    <w:rsid w:val="7BE7B37F"/>
    <w:rsid w:val="7BF35695"/>
    <w:rsid w:val="7CB82886"/>
    <w:rsid w:val="7CBEA90B"/>
    <w:rsid w:val="7D2DDADD"/>
    <w:rsid w:val="7D3BAB44"/>
    <w:rsid w:val="7D77C68C"/>
    <w:rsid w:val="7D793820"/>
    <w:rsid w:val="7D9F2986"/>
    <w:rsid w:val="7D9F797F"/>
    <w:rsid w:val="7DBDFCC8"/>
    <w:rsid w:val="7DBF6B6F"/>
    <w:rsid w:val="7DFA76CF"/>
    <w:rsid w:val="7DFE6D82"/>
    <w:rsid w:val="7DFEEF28"/>
    <w:rsid w:val="7E06559B"/>
    <w:rsid w:val="7EAFC862"/>
    <w:rsid w:val="7EB5D85D"/>
    <w:rsid w:val="7ED7CE62"/>
    <w:rsid w:val="7EDFF990"/>
    <w:rsid w:val="7EFE5AEE"/>
    <w:rsid w:val="7F4F09E7"/>
    <w:rsid w:val="7F774FD7"/>
    <w:rsid w:val="7FAF0B4F"/>
    <w:rsid w:val="7FB5A261"/>
    <w:rsid w:val="7FB6E519"/>
    <w:rsid w:val="7FB9CC73"/>
    <w:rsid w:val="7FBF878A"/>
    <w:rsid w:val="7FCF3CD1"/>
    <w:rsid w:val="7FD5D3C2"/>
    <w:rsid w:val="7FDFE2F6"/>
    <w:rsid w:val="7FE8B34E"/>
    <w:rsid w:val="7FE9FA68"/>
    <w:rsid w:val="7FFD301F"/>
    <w:rsid w:val="7FFFDF8F"/>
    <w:rsid w:val="80C8673B"/>
    <w:rsid w:val="8535C7AA"/>
    <w:rsid w:val="8D52868B"/>
    <w:rsid w:val="94B12FE7"/>
    <w:rsid w:val="97BFAA45"/>
    <w:rsid w:val="9881C598"/>
    <w:rsid w:val="9B4D5D0B"/>
    <w:rsid w:val="9F9E3633"/>
    <w:rsid w:val="9FCAAB44"/>
    <w:rsid w:val="9FFC69C0"/>
    <w:rsid w:val="A3FEB982"/>
    <w:rsid w:val="AE9EA0D4"/>
    <w:rsid w:val="AFDFDD92"/>
    <w:rsid w:val="B566C41B"/>
    <w:rsid w:val="B5F934DA"/>
    <w:rsid w:val="B87B55F8"/>
    <w:rsid w:val="BA55A320"/>
    <w:rsid w:val="BAEBB46C"/>
    <w:rsid w:val="BAEBCFDB"/>
    <w:rsid w:val="BBD657B0"/>
    <w:rsid w:val="BBF77C7B"/>
    <w:rsid w:val="BCF85295"/>
    <w:rsid w:val="BD6F756A"/>
    <w:rsid w:val="BD7D60B5"/>
    <w:rsid w:val="BDFF1111"/>
    <w:rsid w:val="BEDF643D"/>
    <w:rsid w:val="BF4E978A"/>
    <w:rsid w:val="BF7C11E4"/>
    <w:rsid w:val="C41AC0BC"/>
    <w:rsid w:val="C97B8D88"/>
    <w:rsid w:val="CEB6E53B"/>
    <w:rsid w:val="CF27DD0C"/>
    <w:rsid w:val="CFD94197"/>
    <w:rsid w:val="D00BA726"/>
    <w:rsid w:val="D6718C1E"/>
    <w:rsid w:val="D7F6B7B3"/>
    <w:rsid w:val="D7FA6CC8"/>
    <w:rsid w:val="D95FDA67"/>
    <w:rsid w:val="DBBE48A8"/>
    <w:rsid w:val="DBFC4E85"/>
    <w:rsid w:val="DDCCF063"/>
    <w:rsid w:val="DE7BAD28"/>
    <w:rsid w:val="DEFFED2E"/>
    <w:rsid w:val="DF874541"/>
    <w:rsid w:val="DFD3CCD1"/>
    <w:rsid w:val="DFE9508E"/>
    <w:rsid w:val="E558CA52"/>
    <w:rsid w:val="E6DADCFB"/>
    <w:rsid w:val="EB7F222E"/>
    <w:rsid w:val="EB7FE7AD"/>
    <w:rsid w:val="EB93E3B4"/>
    <w:rsid w:val="ECE62F6D"/>
    <w:rsid w:val="EE5DECD0"/>
    <w:rsid w:val="EE7F9601"/>
    <w:rsid w:val="EE9AE977"/>
    <w:rsid w:val="EEEA2264"/>
    <w:rsid w:val="EEFCA571"/>
    <w:rsid w:val="EF9D5269"/>
    <w:rsid w:val="EFBE4C86"/>
    <w:rsid w:val="EFBFD407"/>
    <w:rsid w:val="EFF98AD1"/>
    <w:rsid w:val="F3AFFF2C"/>
    <w:rsid w:val="F3FF8D93"/>
    <w:rsid w:val="F587E585"/>
    <w:rsid w:val="F6E2A3C8"/>
    <w:rsid w:val="F6EF39A6"/>
    <w:rsid w:val="F7DE4666"/>
    <w:rsid w:val="F7E5A2DB"/>
    <w:rsid w:val="F9E3C417"/>
    <w:rsid w:val="FB2F5CB1"/>
    <w:rsid w:val="FBEF3CAE"/>
    <w:rsid w:val="FCE74F92"/>
    <w:rsid w:val="FCFBDC53"/>
    <w:rsid w:val="FD1B13D3"/>
    <w:rsid w:val="FD7F890C"/>
    <w:rsid w:val="FDD55062"/>
    <w:rsid w:val="FDDB848C"/>
    <w:rsid w:val="FE1F8D87"/>
    <w:rsid w:val="FE6F25C2"/>
    <w:rsid w:val="FE7FE4AC"/>
    <w:rsid w:val="FEFE21A6"/>
    <w:rsid w:val="FEFE580D"/>
    <w:rsid w:val="FF39A597"/>
    <w:rsid w:val="FF3F4E73"/>
    <w:rsid w:val="FF5B69C5"/>
    <w:rsid w:val="FF6E09D0"/>
    <w:rsid w:val="FF76874F"/>
    <w:rsid w:val="FFA7CB53"/>
    <w:rsid w:val="FFB74299"/>
    <w:rsid w:val="FFBBD245"/>
    <w:rsid w:val="FFC15D39"/>
    <w:rsid w:val="FFDF385E"/>
    <w:rsid w:val="FFEF4952"/>
    <w:rsid w:val="FFF4C887"/>
    <w:rsid w:val="FFF94C41"/>
    <w:rsid w:val="FFFDCCD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3">
    <w:name w:val="Default Paragraph Font"/>
    <w:semiHidden/>
    <w:uiPriority w:val="0"/>
  </w:style>
  <w:style w:type="table" w:default="1" w:styleId="11">
    <w:name w:val="Normal Table"/>
    <w:semiHidden/>
    <w:uiPriority w:val="0"/>
    <w:tblPr>
      <w:tblStyle w:val="11"/>
      <w:tblLayout w:type="fixed"/>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bidi w:val="0"/>
      <w:spacing w:before="120" w:after="120"/>
    </w:pPr>
    <w:rPr>
      <w:rFonts w:ascii="Calibri" w:hAnsi="Calibri" w:eastAsia="宋体" w:cs="Times New Roman"/>
      <w:i/>
      <w:iCs/>
      <w:color w:val="auto"/>
      <w:sz w:val="24"/>
      <w:szCs w:val="24"/>
      <w:lang w:bidi="ar-SA"/>
    </w:rPr>
  </w:style>
  <w:style w:type="paragraph" w:styleId="3">
    <w:name w:val="Document Map"/>
    <w:basedOn w:val="1"/>
    <w:semiHidden/>
    <w:uiPriority w:val="0"/>
    <w:pPr>
      <w:shd w:val="clear" w:color="auto" w:fill="000080"/>
    </w:pPr>
  </w:style>
  <w:style w:type="paragraph" w:styleId="4">
    <w:name w:val="annotation text"/>
    <w:basedOn w:val="1"/>
    <w:qFormat/>
    <w:uiPriority w:val="0"/>
    <w:pPr>
      <w:jc w:val="left"/>
    </w:pPr>
    <w:rPr>
      <w:rFonts w:ascii="等线" w:hAnsi="等线" w:eastAsia="等线" w:cs="Times New Roman"/>
      <w:szCs w:val="24"/>
      <w:lang w:bidi="ar-SA"/>
    </w:rPr>
  </w:style>
  <w:style w:type="paragraph" w:styleId="5">
    <w:name w:val="Body Text"/>
    <w:basedOn w:val="1"/>
    <w:next w:val="1"/>
    <w:uiPriority w:val="0"/>
    <w:pPr>
      <w:suppressAutoHyphens/>
      <w:bidi w:val="0"/>
      <w:spacing w:before="0" w:after="140" w:line="276" w:lineRule="auto"/>
    </w:pPr>
    <w:rPr>
      <w:rFonts w:ascii="Calibri" w:hAnsi="Calibri" w:eastAsia="宋体" w:cs="Times New Roman"/>
      <w:color w:val="auto"/>
      <w:szCs w:val="24"/>
      <w:lang w:bidi="ar-SA"/>
    </w:rPr>
  </w:style>
  <w:style w:type="paragraph" w:styleId="6">
    <w:name w:val="Date"/>
    <w:basedOn w:val="1"/>
    <w:next w:val="1"/>
    <w:link w:val="18"/>
    <w:uiPriority w:val="0"/>
    <w:pPr>
      <w:ind w:left="100" w:leftChars="2500"/>
    </w:pPr>
    <w:rPr>
      <w:rFonts w:ascii="仿宋_GB2312" w:eastAsia="仿宋_GB2312"/>
      <w:sz w:val="32"/>
    </w:rPr>
  </w:style>
  <w:style w:type="paragraph" w:styleId="7">
    <w:name w:val="Balloon Text"/>
    <w:basedOn w:val="1"/>
    <w:semiHidden/>
    <w:uiPriority w:val="0"/>
    <w:rPr>
      <w:sz w:val="18"/>
      <w:szCs w:val="18"/>
    </w:rPr>
  </w:style>
  <w:style w:type="paragraph" w:styleId="8">
    <w:name w:val="footer"/>
    <w:basedOn w:val="1"/>
    <w:link w:val="19"/>
    <w:uiPriority w:val="0"/>
    <w:pPr>
      <w:tabs>
        <w:tab w:val="center" w:pos="4153"/>
        <w:tab w:val="right" w:pos="8306"/>
      </w:tabs>
      <w:snapToGrid w:val="0"/>
      <w:jc w:val="left"/>
    </w:pPr>
    <w:rPr>
      <w:sz w:val="18"/>
      <w:szCs w:val="18"/>
    </w:rPr>
  </w:style>
  <w:style w:type="paragraph" w:styleId="9">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5"/>
    <w:uiPriority w:val="0"/>
    <w:rPr>
      <w:rFonts w:ascii="Calibri" w:hAnsi="Calibri" w:eastAsia="宋体" w:cs="Times New Roman"/>
    </w:rPr>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page number"/>
    <w:basedOn w:val="13"/>
    <w:uiPriority w:val="0"/>
  </w:style>
  <w:style w:type="character" w:styleId="15">
    <w:name w:val="annotation reference"/>
    <w:qFormat/>
    <w:uiPriority w:val="0"/>
    <w:rPr>
      <w:rFonts w:ascii="等线" w:hAnsi="等线" w:eastAsia="等线" w:cs="Times New Roman"/>
      <w:sz w:val="21"/>
      <w:szCs w:val="21"/>
    </w:rPr>
  </w:style>
  <w:style w:type="paragraph" w:customStyle="1" w:styleId="16">
    <w:name w:val="Index"/>
    <w:basedOn w:val="1"/>
    <w:uiPriority w:val="0"/>
    <w:pPr>
      <w:widowControl w:val="0"/>
      <w:suppressLineNumbers/>
      <w:suppressAutoHyphens/>
      <w:bidi w:val="0"/>
    </w:pPr>
    <w:rPr>
      <w:rFonts w:ascii="Calibri" w:hAnsi="Calibri" w:eastAsia="宋体" w:cs="Times New Roman"/>
      <w:color w:val="auto"/>
      <w:szCs w:val="24"/>
      <w:lang w:bidi="ar-SA"/>
    </w:rPr>
  </w:style>
  <w:style w:type="paragraph" w:customStyle="1" w:styleId="17">
    <w:name w:val="Heading"/>
    <w:basedOn w:val="1"/>
    <w:next w:val="5"/>
    <w:uiPriority w:val="0"/>
    <w:pPr>
      <w:keepNext/>
      <w:widowControl w:val="0"/>
      <w:suppressAutoHyphens/>
      <w:bidi w:val="0"/>
      <w:spacing w:before="240" w:after="120"/>
    </w:pPr>
    <w:rPr>
      <w:rFonts w:ascii="Liberation Sans" w:hAnsi="Liberation Sans" w:eastAsia="Noto Sans CJK SC Regular" w:cs="Noto Sans CJK SC Regular"/>
      <w:color w:val="auto"/>
      <w:sz w:val="28"/>
      <w:szCs w:val="28"/>
      <w:lang w:bidi="ar-SA"/>
    </w:rPr>
  </w:style>
  <w:style w:type="character" w:customStyle="1" w:styleId="18">
    <w:name w:val=" Char Char1"/>
    <w:basedOn w:val="13"/>
    <w:link w:val="6"/>
    <w:uiPriority w:val="0"/>
    <w:rPr>
      <w:rFonts w:ascii="仿宋_GB2312" w:hAnsi="Times New Roman" w:eastAsia="仿宋_GB2312" w:cs="Times New Roman"/>
      <w:kern w:val="2"/>
      <w:sz w:val="32"/>
      <w:szCs w:val="24"/>
      <w:lang w:bidi="ar-SA"/>
    </w:rPr>
  </w:style>
  <w:style w:type="character" w:customStyle="1" w:styleId="19">
    <w:name w:val=" Char Char2"/>
    <w:basedOn w:val="13"/>
    <w:link w:val="8"/>
    <w:semiHidden/>
    <w:uiPriority w:val="99"/>
    <w:rPr>
      <w:rFonts w:ascii="Calibri" w:hAnsi="Calibri" w:eastAsia="宋体" w:cs="Mongolian Baiti"/>
      <w:kern w:val="2"/>
      <w:sz w:val="18"/>
      <w:szCs w:val="22"/>
    </w:rPr>
  </w:style>
  <w:style w:type="character" w:customStyle="1" w:styleId="20">
    <w:name w:val=" Char Char"/>
    <w:basedOn w:val="13"/>
    <w:link w:val="9"/>
    <w:semiHidden/>
    <w:uiPriority w:val="99"/>
    <w:rPr>
      <w:rFonts w:ascii="Calibri" w:hAnsi="Calibri" w:eastAsia="宋体" w:cs="Mongolian Baiti"/>
      <w:kern w:val="2"/>
      <w:sz w:val="18"/>
      <w:szCs w:val="22"/>
    </w:rPr>
  </w:style>
  <w:style w:type="character" w:customStyle="1" w:styleId="21">
    <w:name w:val="默认段落字体1"/>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79</Characters>
  <Lines>1</Lines>
  <Paragraphs>1</Paragraphs>
  <TotalTime>5</TotalTime>
  <ScaleCrop>false</ScaleCrop>
  <LinksUpToDate>false</LinksUpToDate>
  <CharactersWithSpaces>91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2012-09-19T13:07:00Z</dcterms:created>
  <dc:creator>王蕾:打印</dc:creator>
  <cp:lastModifiedBy>zwfw</cp:lastModifiedBy>
  <cp:lastPrinted>2022-12-30T16:44:06Z</cp:lastPrinted>
  <dcterms:modified xsi:type="dcterms:W3CDTF">2023-01-04T03:06:22Z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