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rPr>
      </w:pPr>
    </w:p>
    <w:p>
      <w:pPr>
        <w:keepNext w:val="0"/>
        <w:keepLines w:val="0"/>
        <w:pageBreakBefore w:val="0"/>
        <w:widowControl w:val="0"/>
        <w:kinsoku/>
        <w:wordWrap/>
        <w:overflowPunct/>
        <w:bidi w:val="0"/>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内蒙古自治区人民政府办公厅关于</w:t>
      </w:r>
    </w:p>
    <w:p>
      <w:pPr>
        <w:keepNext w:val="0"/>
        <w:keepLines w:val="0"/>
        <w:pageBreakBefore w:val="0"/>
        <w:widowControl w:val="0"/>
        <w:kinsoku/>
        <w:wordWrap/>
        <w:overflowPunct/>
        <w:bidi w:val="0"/>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印发自治区新能源倍增行动实施方案的通知</w:t>
      </w:r>
    </w:p>
    <w:p>
      <w:pPr>
        <w:pStyle w:val="2"/>
        <w:jc w:val="center"/>
        <w:rPr>
          <w:rFonts w:hint="eastAsia"/>
          <w:lang w:eastAsia="zh-CN"/>
        </w:rPr>
      </w:pPr>
      <w:r>
        <w:rPr>
          <w:rFonts w:hint="eastAsia" w:ascii="仿宋_GB2312" w:hAnsi="华文仿宋" w:eastAsia="仿宋_GB2312"/>
          <w:sz w:val="32"/>
          <w:lang w:eastAsia="zh-CN"/>
        </w:rPr>
        <w:br w:type="textWrapping"/>
      </w:r>
      <w:r>
        <w:rPr>
          <w:rFonts w:hint="eastAsia" w:ascii="仿宋_GB2312" w:hAnsi="华文仿宋" w:eastAsia="仿宋_GB2312"/>
          <w:sz w:val="32"/>
          <w:lang w:eastAsia="zh-CN"/>
        </w:rPr>
        <w:t>内政办发〔2023〕</w:t>
      </w:r>
      <w:r>
        <w:rPr>
          <w:rFonts w:hint="eastAsia" w:ascii="仿宋_GB2312" w:hAnsi="华文仿宋" w:eastAsia="仿宋_GB2312"/>
          <w:sz w:val="32"/>
          <w:lang w:val="en-US" w:eastAsia="zh-CN"/>
        </w:rPr>
        <w:t>69</w:t>
      </w:r>
      <w:r>
        <w:rPr>
          <w:rFonts w:hint="eastAsia" w:ascii="仿宋_GB2312" w:hAnsi="华文仿宋" w:eastAsia="仿宋_GB2312"/>
          <w:sz w:val="32"/>
          <w:lang w:eastAsia="zh-CN"/>
        </w:rPr>
        <w:t>号</w:t>
      </w:r>
    </w:p>
    <w:p>
      <w:pPr>
        <w:keepNext w:val="0"/>
        <w:keepLines w:val="0"/>
        <w:pageBreakBefore w:val="0"/>
        <w:widowControl w:val="0"/>
        <w:kinsoku/>
        <w:wordWrap/>
        <w:overflowPunct/>
        <w:bidi w:val="0"/>
        <w:spacing w:line="580" w:lineRule="exact"/>
        <w:jc w:val="center"/>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32"/>
          <w:szCs w:val="32"/>
        </w:rPr>
      </w:pPr>
      <w:r>
        <w:rPr>
          <w:rFonts w:hint="eastAsia" w:ascii="楷体" w:hAnsi="楷体" w:eastAsia="楷体" w:cs="楷体"/>
          <w:sz w:val="32"/>
          <w:szCs w:val="32"/>
          <w:lang w:eastAsia="zh-CN"/>
        </w:rPr>
        <w:t>各盟行政公署、市人民政府，自治区各委、办、厅、局，各大企业、事业单位</w:t>
      </w:r>
      <w:r>
        <w:rPr>
          <w:rFonts w:hint="eastAsia" w:ascii="楷体" w:hAnsi="楷体" w:eastAsia="楷体" w:cs="楷体"/>
          <w:sz w:val="32"/>
          <w:szCs w:val="32"/>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641"/>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经自治区人民政府同意，现将《内蒙古自治区新能源倍增行动实施方案》印发给你们，请结合实际，认真贯彻落实。</w:t>
      </w:r>
    </w:p>
    <w:p>
      <w:pPr>
        <w:pStyle w:val="2"/>
        <w:keepNext w:val="0"/>
        <w:keepLines w:val="0"/>
        <w:pageBreakBefore w:val="0"/>
        <w:widowControl w:val="0"/>
        <w:kinsoku/>
        <w:wordWrap/>
        <w:overflowPunct/>
        <w:topLinePunct w:val="0"/>
        <w:autoSpaceDE/>
        <w:autoSpaceDN/>
        <w:bidi w:val="0"/>
        <w:adjustRightInd/>
        <w:snapToGrid/>
        <w:spacing w:line="400" w:lineRule="exact"/>
        <w:ind w:firstLine="641"/>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1"/>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1"/>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1"/>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5132" w:firstLineChars="1604"/>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2023年10月23日</w:t>
      </w:r>
    </w:p>
    <w:p>
      <w:pPr>
        <w:pStyle w:val="2"/>
        <w:keepNext w:val="0"/>
        <w:keepLines w:val="0"/>
        <w:pageBreakBefore w:val="0"/>
        <w:widowControl w:val="0"/>
        <w:kinsoku/>
        <w:wordWrap/>
        <w:overflowPunct/>
        <w:topLinePunct/>
        <w:autoSpaceDE/>
        <w:autoSpaceDN/>
        <w:bidi w:val="0"/>
        <w:adjustRightInd/>
        <w:snapToGrid/>
        <w:spacing w:line="360" w:lineRule="exact"/>
        <w:ind w:firstLine="641"/>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（此件公开发布）</w:t>
      </w:r>
    </w:p>
    <w:p>
      <w:pPr>
        <w:pStyle w:val="2"/>
        <w:keepNext w:val="0"/>
        <w:keepLines w:val="0"/>
        <w:pageBreakBefore w:val="0"/>
        <w:widowControl w:val="0"/>
        <w:kinsoku/>
        <w:wordWrap/>
        <w:overflowPunct/>
        <w:topLinePunct/>
        <w:autoSpaceDE/>
        <w:autoSpaceDN/>
        <w:bidi w:val="0"/>
        <w:adjustRightInd/>
        <w:snapToGrid/>
        <w:spacing w:line="360" w:lineRule="exact"/>
        <w:ind w:firstLine="641"/>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adjustRightInd/>
        <w:snapToGrid/>
        <w:spacing w:line="360" w:lineRule="exact"/>
        <w:ind w:firstLine="641"/>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adjustRightInd/>
        <w:snapToGrid/>
        <w:spacing w:line="360" w:lineRule="exact"/>
        <w:ind w:firstLine="641"/>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adjustRightInd/>
        <w:snapToGrid/>
        <w:spacing w:line="360" w:lineRule="exact"/>
        <w:ind w:firstLine="641"/>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adjustRightInd/>
        <w:snapToGrid/>
        <w:spacing w:line="360" w:lineRule="exact"/>
        <w:ind w:firstLine="641"/>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adjustRightInd/>
        <w:snapToGrid/>
        <w:spacing w:line="360" w:lineRule="exact"/>
        <w:ind w:firstLine="641"/>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adjustRightInd/>
        <w:snapToGrid/>
        <w:spacing w:line="360" w:lineRule="exact"/>
        <w:ind w:firstLine="641"/>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adjustRightInd/>
        <w:snapToGrid/>
        <w:spacing w:line="360" w:lineRule="exact"/>
        <w:ind w:firstLine="641"/>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adjustRightInd/>
        <w:snapToGrid/>
        <w:spacing w:line="36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楷体_GBK" w:hAnsi="方正楷体_GBK" w:eastAsia="方正楷体_GBK" w:cs="方正楷体_GBK"/>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内蒙古自治区新能源倍增行动实施方案</w:t>
      </w:r>
    </w:p>
    <w:p>
      <w:pPr>
        <w:pStyle w:val="2"/>
        <w:keepNext w:val="0"/>
        <w:keepLines w:val="0"/>
        <w:pageBreakBefore w:val="0"/>
        <w:widowControl w:val="0"/>
        <w:kinsoku/>
        <w:wordWrap/>
        <w:overflowPunct/>
        <w:topLinePunct w:val="0"/>
        <w:bidi w:val="0"/>
        <w:spacing w:after="0" w:line="600" w:lineRule="exact"/>
        <w:ind w:left="0" w:leftChars="0"/>
        <w:jc w:val="center"/>
        <w:textAlignment w:val="auto"/>
        <w:rPr>
          <w:rFonts w:hint="eastAsia" w:ascii="方正仿宋_GBK" w:hAnsi="方正仿宋_GBK" w:eastAsia="方正仿宋_GBK" w:cs="方正仿宋_GBK"/>
          <w:b w:val="0"/>
          <w:bCs w:val="0"/>
          <w:sz w:val="32"/>
          <w:szCs w:val="32"/>
        </w:rPr>
      </w:pPr>
    </w:p>
    <w:p>
      <w:pPr>
        <w:pStyle w:val="14"/>
        <w:keepNext w:val="0"/>
        <w:keepLines w:val="0"/>
        <w:pageBreakBefore w:val="0"/>
        <w:widowControl w:val="0"/>
        <w:kinsoku/>
        <w:wordWrap/>
        <w:overflowPunct/>
        <w:topLinePunct w:val="0"/>
        <w:bidi w:val="0"/>
        <w:spacing w:line="600" w:lineRule="exact"/>
        <w:ind w:left="0" w:leftChars="0" w:firstLine="723"/>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为全面贯彻落实习近平总书记考察内蒙古时的重要指示和重要讲话精神，大力发展绿色能源，</w:t>
      </w:r>
      <w:r>
        <w:rPr>
          <w:rFonts w:hint="eastAsia" w:ascii="仿宋" w:hAnsi="仿宋" w:eastAsia="仿宋" w:cs="仿宋"/>
          <w:b w:val="0"/>
          <w:bCs w:val="0"/>
          <w:sz w:val="32"/>
          <w:szCs w:val="32"/>
          <w:lang w:eastAsia="zh-CN"/>
        </w:rPr>
        <w:t>全面建设好</w:t>
      </w:r>
      <w:r>
        <w:rPr>
          <w:rFonts w:hint="eastAsia" w:ascii="仿宋" w:hAnsi="仿宋" w:eastAsia="仿宋" w:cs="仿宋"/>
          <w:b w:val="0"/>
          <w:bCs w:val="0"/>
          <w:sz w:val="32"/>
          <w:szCs w:val="32"/>
        </w:rPr>
        <w:t>国家重要能源基地，按照自治区党委十一届六次全会决策部署，如期实现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双碳</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目标，更好保障国家能源安全，</w:t>
      </w:r>
      <w:bookmarkStart w:id="0" w:name="_Hlk118317209"/>
      <w:r>
        <w:rPr>
          <w:rFonts w:hint="eastAsia" w:ascii="仿宋" w:hAnsi="仿宋" w:eastAsia="仿宋" w:cs="仿宋"/>
          <w:b w:val="0"/>
          <w:bCs w:val="0"/>
          <w:spacing w:val="6"/>
          <w:sz w:val="32"/>
          <w:szCs w:val="32"/>
          <w:lang w:eastAsia="zh-CN"/>
        </w:rPr>
        <w:t>结合自治区实际，</w:t>
      </w:r>
      <w:r>
        <w:rPr>
          <w:rFonts w:hint="eastAsia" w:ascii="仿宋" w:hAnsi="仿宋" w:eastAsia="仿宋" w:cs="仿宋"/>
          <w:b w:val="0"/>
          <w:bCs w:val="0"/>
          <w:spacing w:val="6"/>
          <w:sz w:val="32"/>
          <w:szCs w:val="32"/>
        </w:rPr>
        <w:t>制定</w:t>
      </w:r>
      <w:r>
        <w:rPr>
          <w:rFonts w:hint="eastAsia" w:ascii="仿宋" w:hAnsi="仿宋" w:eastAsia="仿宋" w:cs="仿宋"/>
          <w:b w:val="0"/>
          <w:bCs w:val="0"/>
          <w:spacing w:val="6"/>
          <w:sz w:val="32"/>
          <w:szCs w:val="32"/>
          <w:lang w:eastAsia="zh-CN"/>
        </w:rPr>
        <w:t>本</w:t>
      </w:r>
      <w:r>
        <w:rPr>
          <w:rFonts w:hint="eastAsia" w:ascii="仿宋" w:hAnsi="仿宋" w:eastAsia="仿宋" w:cs="仿宋"/>
          <w:b w:val="0"/>
          <w:bCs w:val="0"/>
          <w:spacing w:val="6"/>
          <w:sz w:val="32"/>
          <w:szCs w:val="32"/>
        </w:rPr>
        <w:t>方案。</w:t>
      </w:r>
    </w:p>
    <w:bookmarkEnd w:id="0"/>
    <w:p>
      <w:pPr>
        <w:pStyle w:val="17"/>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黑体" w:hAnsi="黑体" w:eastAsia="黑体" w:cs="黑体"/>
          <w:b w:val="0"/>
          <w:bCs w:val="0"/>
          <w:sz w:val="32"/>
          <w:szCs w:val="32"/>
        </w:rPr>
      </w:pPr>
      <w:bookmarkStart w:id="1" w:name="_Toc141020732"/>
      <w:bookmarkStart w:id="2" w:name="_Toc141021671"/>
      <w:bookmarkStart w:id="3" w:name="_Toc141285121"/>
      <w:bookmarkStart w:id="4" w:name="_Toc141021647"/>
      <w:bookmarkStart w:id="5" w:name="_Toc141021651"/>
      <w:bookmarkStart w:id="6" w:name="_Toc141021675"/>
      <w:bookmarkStart w:id="7" w:name="_Toc141020736"/>
      <w:r>
        <w:rPr>
          <w:rFonts w:hint="eastAsia" w:ascii="黑体" w:hAnsi="黑体" w:eastAsia="黑体" w:cs="黑体"/>
          <w:b w:val="0"/>
          <w:bCs w:val="0"/>
          <w:sz w:val="32"/>
          <w:szCs w:val="32"/>
        </w:rPr>
        <w:t>一、发展基础</w:t>
      </w:r>
      <w:bookmarkEnd w:id="1"/>
      <w:bookmarkEnd w:id="2"/>
      <w:bookmarkEnd w:id="3"/>
      <w:bookmarkEnd w:id="4"/>
    </w:p>
    <w:p>
      <w:pPr>
        <w:pStyle w:val="14"/>
        <w:keepNext w:val="0"/>
        <w:keepLines w:val="0"/>
        <w:pageBreakBefore w:val="0"/>
        <w:widowControl w:val="0"/>
        <w:kinsoku/>
        <w:wordWrap/>
        <w:overflowPunct/>
        <w:topLinePunct/>
        <w:autoSpaceDE/>
        <w:autoSpaceDN/>
        <w:bidi w:val="0"/>
        <w:adjustRightInd w:val="0"/>
        <w:snapToGrid w:val="0"/>
        <w:spacing w:line="600" w:lineRule="exact"/>
        <w:ind w:left="0" w:leftChars="0" w:firstLine="723"/>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十四五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以来，自治区新能源发展不断取得新成效，装机规模持续扩大，截至2022年底，</w:t>
      </w: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rPr>
        <w:t>区新能源发电装机达到6182万千瓦，占全国新能源总装机的8.1%，居全国第3位；</w:t>
      </w: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rPr>
        <w:t>区新能源发电量达到1335亿千瓦时，</w:t>
      </w:r>
      <w:r>
        <w:rPr>
          <w:rFonts w:hint="eastAsia" w:ascii="仿宋" w:hAnsi="仿宋" w:eastAsia="仿宋" w:cs="仿宋"/>
          <w:b w:val="0"/>
          <w:bCs w:val="0"/>
          <w:spacing w:val="6"/>
          <w:sz w:val="32"/>
          <w:szCs w:val="32"/>
        </w:rPr>
        <w:t>占</w:t>
      </w:r>
      <w:r>
        <w:rPr>
          <w:rFonts w:hint="eastAsia" w:ascii="仿宋" w:hAnsi="仿宋" w:eastAsia="仿宋" w:cs="仿宋"/>
          <w:b w:val="0"/>
          <w:bCs w:val="0"/>
          <w:spacing w:val="11"/>
          <w:sz w:val="32"/>
          <w:szCs w:val="32"/>
        </w:rPr>
        <w:t>全国新能源总发电量的8.8%，</w:t>
      </w:r>
      <w:r>
        <w:rPr>
          <w:rFonts w:hint="eastAsia" w:ascii="仿宋" w:hAnsi="仿宋" w:eastAsia="仿宋" w:cs="仿宋"/>
          <w:b w:val="0"/>
          <w:bCs w:val="0"/>
          <w:sz w:val="32"/>
          <w:szCs w:val="32"/>
        </w:rPr>
        <w:t>居全国首位；跨省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区</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外送新能源电量306亿千瓦时，居全国首位。消纳利用水平稳步提升，2022年</w:t>
      </w: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rPr>
        <w:t>区新能源发电量占总发电量的21%，较2020年提高</w:t>
      </w:r>
      <w:r>
        <w:rPr>
          <w:rFonts w:hint="eastAsia" w:ascii="仿宋" w:hAnsi="仿宋" w:eastAsia="仿宋" w:cs="仿宋"/>
          <w:b w:val="0"/>
          <w:bCs w:val="0"/>
          <w:sz w:val="32"/>
          <w:szCs w:val="32"/>
          <w:lang w:val="en-US" w:eastAsia="zh-CN"/>
        </w:rPr>
        <w:t>5个百分点</w:t>
      </w:r>
      <w:r>
        <w:rPr>
          <w:rFonts w:hint="eastAsia" w:ascii="仿宋" w:hAnsi="仿宋" w:eastAsia="仿宋" w:cs="仿宋"/>
          <w:b w:val="0"/>
          <w:bCs w:val="0"/>
          <w:sz w:val="32"/>
          <w:szCs w:val="32"/>
        </w:rPr>
        <w:t>；新能源本地消纳电量达到1029亿千瓦时，较2020年增长约35%。新能源产业稳步发展</w:t>
      </w:r>
      <w:bookmarkStart w:id="8" w:name="_Hlk141040357"/>
      <w:bookmarkStart w:id="9" w:name="_Hlk141040369"/>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rPr>
        <w:t>区新能源电站及相关产业链累计带动投资5000亿元以上，GDP贡献占比超过7%。</w:t>
      </w:r>
      <w:bookmarkEnd w:id="8"/>
      <w:r>
        <w:rPr>
          <w:rFonts w:hint="eastAsia" w:ascii="仿宋" w:hAnsi="仿宋" w:eastAsia="仿宋" w:cs="仿宋"/>
          <w:b w:val="0"/>
          <w:bCs w:val="0"/>
          <w:sz w:val="32"/>
          <w:szCs w:val="32"/>
        </w:rPr>
        <w:t>节能减排效果显著，2022年，</w:t>
      </w: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rPr>
        <w:t>区新能源发电量达到1335亿千瓦时，替代火电节约标煤约4050万吨，减少二氧化碳排放约7000万吨。</w:t>
      </w:r>
    </w:p>
    <w:bookmarkEnd w:id="9"/>
    <w:p>
      <w:pPr>
        <w:keepNext w:val="0"/>
        <w:keepLines w:val="0"/>
        <w:pageBreakBefore w:val="0"/>
        <w:widowControl w:val="0"/>
        <w:kinsoku/>
        <w:wordWrap/>
        <w:overflowPunct/>
        <w:topLinePunct/>
        <w:bidi w:val="0"/>
        <w:adjustRightInd w:val="0"/>
        <w:snapToGrid w:val="0"/>
        <w:spacing w:line="580" w:lineRule="exact"/>
        <w:ind w:left="0" w:leftChars="0" w:firstLine="640" w:firstLineChars="200"/>
        <w:textAlignment w:val="auto"/>
        <w:rPr>
          <w:rStyle w:val="22"/>
          <w:rFonts w:hint="eastAsia" w:ascii="仿宋" w:hAnsi="仿宋" w:eastAsia="仿宋" w:cs="仿宋"/>
          <w:b w:val="0"/>
          <w:bCs w:val="0"/>
          <w:sz w:val="32"/>
          <w:szCs w:val="32"/>
        </w:rPr>
      </w:pPr>
      <w:r>
        <w:rPr>
          <w:rFonts w:hint="eastAsia" w:ascii="仿宋" w:hAnsi="仿宋" w:eastAsia="仿宋" w:cs="仿宋"/>
          <w:b w:val="0"/>
          <w:bCs w:val="0"/>
          <w:kern w:val="2"/>
          <w:sz w:val="32"/>
          <w:szCs w:val="32"/>
        </w:rPr>
        <w:t>在</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rPr>
        <w:t>双碳</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rPr>
        <w:t>目标的大背景下，能源的绿色转型是实现</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rPr>
        <w:t>双碳</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rPr>
        <w:t>目标的关键之处、重中之重。作为我国最大的电力外送基地，内蒙古既肩负保障国家能源安全的重要使命，承担</w:t>
      </w:r>
      <w:r>
        <w:rPr>
          <w:rFonts w:hint="eastAsia" w:ascii="仿宋" w:hAnsi="仿宋" w:eastAsia="仿宋" w:cs="仿宋"/>
          <w:b w:val="0"/>
          <w:bCs w:val="0"/>
          <w:kern w:val="2"/>
          <w:sz w:val="32"/>
          <w:szCs w:val="32"/>
          <w:lang w:eastAsia="zh-CN"/>
        </w:rPr>
        <w:t>着</w:t>
      </w:r>
      <w:r>
        <w:rPr>
          <w:rFonts w:hint="eastAsia" w:ascii="仿宋" w:hAnsi="仿宋" w:eastAsia="仿宋" w:cs="仿宋"/>
          <w:b w:val="0"/>
          <w:bCs w:val="0"/>
          <w:kern w:val="2"/>
          <w:sz w:val="32"/>
          <w:szCs w:val="32"/>
        </w:rPr>
        <w:t>加快大规模外送绿电</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rPr>
        <w:t>有力有效支持支撑全国经济大省用能和缺电省份绿电低碳发展的任务，又迫切需要加快自身绿色转型发展，提高清洁能源消费比重、改善用能结构、推进工业转型升级，新能源发展迎来重大机遇。当前</w:t>
      </w:r>
      <w:r>
        <w:rPr>
          <w:rFonts w:hint="eastAsia" w:ascii="仿宋" w:hAnsi="仿宋" w:eastAsia="仿宋" w:cs="仿宋"/>
          <w:b w:val="0"/>
          <w:bCs w:val="0"/>
          <w:kern w:val="2"/>
          <w:sz w:val="32"/>
          <w:szCs w:val="32"/>
          <w:lang w:eastAsia="zh-CN"/>
        </w:rPr>
        <w:t>，</w:t>
      </w:r>
      <w:r>
        <w:rPr>
          <w:rStyle w:val="22"/>
          <w:rFonts w:hint="eastAsia" w:ascii="仿宋" w:hAnsi="仿宋" w:eastAsia="仿宋" w:cs="仿宋"/>
          <w:b w:val="0"/>
          <w:bCs w:val="0"/>
          <w:sz w:val="32"/>
          <w:szCs w:val="32"/>
        </w:rPr>
        <w:t>自治区</w:t>
      </w:r>
      <w:r>
        <w:rPr>
          <w:rStyle w:val="22"/>
          <w:rFonts w:hint="eastAsia" w:ascii="仿宋" w:hAnsi="仿宋" w:eastAsia="仿宋" w:cs="仿宋"/>
          <w:b w:val="0"/>
          <w:bCs w:val="0"/>
          <w:sz w:val="32"/>
          <w:szCs w:val="32"/>
          <w:lang w:eastAsia="zh-CN"/>
        </w:rPr>
        <w:t>还</w:t>
      </w:r>
      <w:r>
        <w:rPr>
          <w:rStyle w:val="22"/>
          <w:rFonts w:hint="eastAsia" w:ascii="仿宋" w:hAnsi="仿宋" w:eastAsia="仿宋" w:cs="仿宋"/>
          <w:b w:val="0"/>
          <w:bCs w:val="0"/>
          <w:sz w:val="32"/>
          <w:szCs w:val="32"/>
        </w:rPr>
        <w:t>存在着新能源本地消纳和利用空间有限、外送通道从规划到建成的周期较长、电力系统难以匹配新能源大规模快速发展等制约因素</w:t>
      </w:r>
      <w:r>
        <w:rPr>
          <w:rStyle w:val="22"/>
          <w:rFonts w:hint="eastAsia" w:ascii="仿宋" w:hAnsi="仿宋" w:eastAsia="仿宋" w:cs="仿宋"/>
          <w:b w:val="0"/>
          <w:bCs w:val="0"/>
          <w:sz w:val="32"/>
          <w:szCs w:val="32"/>
          <w:lang w:eastAsia="zh-CN"/>
        </w:rPr>
        <w:t>，需要统筹研究解决</w:t>
      </w:r>
      <w:r>
        <w:rPr>
          <w:rStyle w:val="22"/>
          <w:rFonts w:hint="eastAsia" w:ascii="仿宋" w:hAnsi="仿宋" w:eastAsia="仿宋" w:cs="仿宋"/>
          <w:b w:val="0"/>
          <w:bCs w:val="0"/>
          <w:sz w:val="32"/>
          <w:szCs w:val="32"/>
        </w:rPr>
        <w:t>。</w:t>
      </w:r>
    </w:p>
    <w:bookmarkEnd w:id="5"/>
    <w:bookmarkEnd w:id="6"/>
    <w:bookmarkEnd w:id="7"/>
    <w:p>
      <w:pPr>
        <w:pStyle w:val="17"/>
        <w:keepNext w:val="0"/>
        <w:keepLines w:val="0"/>
        <w:pageBreakBefore w:val="0"/>
        <w:widowControl w:val="0"/>
        <w:kinsoku/>
        <w:wordWrap/>
        <w:overflowPunct/>
        <w:topLinePunct/>
        <w:bidi w:val="0"/>
        <w:adjustRightInd w:val="0"/>
        <w:snapToGrid w:val="0"/>
        <w:spacing w:line="580" w:lineRule="exact"/>
        <w:ind w:left="0" w:leftChars="0" w:firstLine="640" w:firstLineChars="200"/>
        <w:textAlignment w:val="auto"/>
        <w:rPr>
          <w:rFonts w:hint="eastAsia" w:ascii="黑体" w:hAnsi="黑体" w:eastAsia="黑体" w:cs="黑体"/>
          <w:b w:val="0"/>
          <w:bCs w:val="0"/>
          <w:sz w:val="32"/>
          <w:szCs w:val="32"/>
        </w:rPr>
      </w:pPr>
      <w:bookmarkStart w:id="10" w:name="_Toc141285125"/>
      <w:bookmarkStart w:id="11" w:name="_Toc141021678"/>
      <w:bookmarkStart w:id="12" w:name="_Toc141021654"/>
      <w:bookmarkStart w:id="13" w:name="_Toc141020739"/>
      <w:r>
        <w:rPr>
          <w:rFonts w:hint="eastAsia" w:ascii="黑体" w:hAnsi="黑体" w:eastAsia="黑体" w:cs="黑体"/>
          <w:b w:val="0"/>
          <w:bCs w:val="0"/>
          <w:sz w:val="32"/>
          <w:szCs w:val="32"/>
        </w:rPr>
        <w:t>二、总体要求</w:t>
      </w:r>
      <w:bookmarkEnd w:id="10"/>
    </w:p>
    <w:p>
      <w:pPr>
        <w:pStyle w:val="18"/>
        <w:keepNext w:val="0"/>
        <w:keepLines w:val="0"/>
        <w:pageBreakBefore w:val="0"/>
        <w:widowControl w:val="0"/>
        <w:kinsoku/>
        <w:wordWrap/>
        <w:overflowPunct/>
        <w:topLinePunct/>
        <w:bidi w:val="0"/>
        <w:adjustRightInd w:val="0"/>
        <w:snapToGrid w:val="0"/>
        <w:spacing w:line="580" w:lineRule="exact"/>
        <w:ind w:left="0" w:leftChars="0" w:firstLine="723"/>
        <w:textAlignment w:val="auto"/>
        <w:rPr>
          <w:rFonts w:hint="eastAsia" w:ascii="楷体" w:hAnsi="楷体" w:eastAsia="楷体" w:cs="楷体"/>
          <w:b w:val="0"/>
          <w:bCs w:val="0"/>
          <w:sz w:val="32"/>
          <w:szCs w:val="32"/>
        </w:rPr>
      </w:pPr>
      <w:bookmarkStart w:id="14" w:name="_Toc141021677"/>
      <w:bookmarkStart w:id="15" w:name="_Toc141021653"/>
      <w:bookmarkStart w:id="16" w:name="_Toc141285127"/>
      <w:bookmarkStart w:id="17" w:name="_Toc141020738"/>
      <w:bookmarkStart w:id="18" w:name="_Hlk94131024"/>
      <w:r>
        <w:rPr>
          <w:rFonts w:hint="eastAsia" w:ascii="楷体" w:hAnsi="楷体" w:eastAsia="楷体" w:cs="楷体"/>
          <w:b w:val="0"/>
          <w:bCs w:val="0"/>
          <w:sz w:val="32"/>
          <w:szCs w:val="32"/>
        </w:rPr>
        <w:t>（一）基本</w:t>
      </w:r>
      <w:bookmarkEnd w:id="14"/>
      <w:bookmarkEnd w:id="15"/>
      <w:bookmarkEnd w:id="16"/>
      <w:bookmarkEnd w:id="17"/>
      <w:r>
        <w:rPr>
          <w:rFonts w:hint="eastAsia" w:ascii="楷体" w:hAnsi="楷体" w:eastAsia="楷体" w:cs="楷体"/>
          <w:b w:val="0"/>
          <w:bCs w:val="0"/>
          <w:sz w:val="32"/>
          <w:szCs w:val="32"/>
        </w:rPr>
        <w:t>原则</w:t>
      </w:r>
      <w:r>
        <w:rPr>
          <w:rFonts w:hint="eastAsia" w:ascii="楷体" w:hAnsi="楷体" w:eastAsia="楷体" w:cs="楷体"/>
          <w:b w:val="0"/>
          <w:bCs w:val="0"/>
          <w:sz w:val="32"/>
          <w:szCs w:val="32"/>
          <w:lang w:eastAsia="zh-CN"/>
        </w:rPr>
        <w:t>。</w:t>
      </w:r>
    </w:p>
    <w:p>
      <w:pPr>
        <w:pStyle w:val="14"/>
        <w:keepNext w:val="0"/>
        <w:keepLines w:val="0"/>
        <w:pageBreakBefore w:val="0"/>
        <w:widowControl w:val="0"/>
        <w:kinsoku/>
        <w:wordWrap/>
        <w:overflowPunct/>
        <w:topLinePunct/>
        <w:bidi w:val="0"/>
        <w:adjustRightInd w:val="0"/>
        <w:snapToGrid w:val="0"/>
        <w:spacing w:line="580" w:lineRule="exact"/>
        <w:ind w:left="0" w:leftChars="0" w:firstLine="723"/>
        <w:textAlignment w:val="auto"/>
        <w:rPr>
          <w:rFonts w:hint="eastAsia" w:ascii="仿宋" w:hAnsi="仿宋" w:eastAsia="仿宋" w:cs="仿宋"/>
          <w:b w:val="0"/>
          <w:bCs w:val="0"/>
          <w:sz w:val="32"/>
          <w:szCs w:val="32"/>
        </w:rPr>
      </w:pPr>
      <w:r>
        <w:rPr>
          <w:rFonts w:hint="eastAsia" w:ascii="方正小标宋_GBK" w:hAnsi="方正小标宋_GBK" w:eastAsia="方正小标宋_GBK" w:cs="方正小标宋_GBK"/>
          <w:b w:val="0"/>
          <w:bCs w:val="0"/>
          <w:sz w:val="32"/>
          <w:szCs w:val="32"/>
          <w:lang w:eastAsia="zh-CN"/>
        </w:rPr>
        <w:t>——</w:t>
      </w:r>
      <w:r>
        <w:rPr>
          <w:rFonts w:hint="eastAsia" w:ascii="仿宋" w:hAnsi="仿宋" w:eastAsia="仿宋" w:cs="仿宋"/>
          <w:b w:val="0"/>
          <w:bCs w:val="0"/>
          <w:sz w:val="32"/>
          <w:szCs w:val="32"/>
        </w:rPr>
        <w:t>坚持保障国家能源安全，坚持聚焦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两个率先</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两个超过</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发展目标，风光并举、氢储共用，加快推动现代能源体系建设，支撑国家能源安全、产业安全，全力建设好国家现代能源经济示范区，支撑全区经济社会高质量发展。</w:t>
      </w:r>
    </w:p>
    <w:p>
      <w:pPr>
        <w:pStyle w:val="14"/>
        <w:keepNext w:val="0"/>
        <w:keepLines w:val="0"/>
        <w:pageBreakBefore w:val="0"/>
        <w:widowControl w:val="0"/>
        <w:kinsoku/>
        <w:wordWrap/>
        <w:overflowPunct/>
        <w:topLinePunct/>
        <w:bidi w:val="0"/>
        <w:adjustRightInd w:val="0"/>
        <w:snapToGrid w:val="0"/>
        <w:spacing w:line="580" w:lineRule="exact"/>
        <w:ind w:left="0" w:leftChars="0" w:firstLine="723"/>
        <w:textAlignment w:val="auto"/>
        <w:rPr>
          <w:rFonts w:hint="eastAsia" w:ascii="仿宋" w:hAnsi="仿宋" w:eastAsia="仿宋" w:cs="仿宋"/>
          <w:b w:val="0"/>
          <w:bCs w:val="0"/>
          <w:sz w:val="32"/>
          <w:szCs w:val="32"/>
        </w:rPr>
      </w:pPr>
      <w:r>
        <w:rPr>
          <w:rFonts w:hint="eastAsia" w:ascii="方正小标宋_GBK" w:hAnsi="方正小标宋_GBK" w:eastAsia="方正小标宋_GBK" w:cs="方正小标宋_GBK"/>
          <w:b w:val="0"/>
          <w:bCs w:val="0"/>
          <w:sz w:val="32"/>
          <w:szCs w:val="32"/>
          <w:lang w:eastAsia="zh-CN"/>
        </w:rPr>
        <w:t>——</w:t>
      </w:r>
      <w:r>
        <w:rPr>
          <w:rFonts w:hint="eastAsia" w:ascii="仿宋" w:hAnsi="仿宋" w:eastAsia="仿宋" w:cs="仿宋"/>
          <w:b w:val="0"/>
          <w:bCs w:val="0"/>
          <w:sz w:val="32"/>
          <w:szCs w:val="32"/>
        </w:rPr>
        <w:t>坚持优化产业布局，坚持走以生态优先、绿色发展为导向的新路子，</w:t>
      </w:r>
      <w:r>
        <w:rPr>
          <w:rFonts w:hint="eastAsia" w:ascii="仿宋" w:hAnsi="仿宋" w:eastAsia="仿宋" w:cs="仿宋"/>
          <w:b w:val="0"/>
          <w:bCs w:val="0"/>
          <w:spacing w:val="6"/>
          <w:sz w:val="32"/>
          <w:szCs w:val="32"/>
        </w:rPr>
        <w:t>把生态环境保护挺在最前面，以项目规划为抓手，</w:t>
      </w:r>
      <w:r>
        <w:rPr>
          <w:rFonts w:hint="eastAsia" w:ascii="仿宋" w:hAnsi="仿宋" w:eastAsia="仿宋" w:cs="仿宋"/>
          <w:b w:val="0"/>
          <w:bCs w:val="0"/>
          <w:sz w:val="32"/>
          <w:szCs w:val="32"/>
        </w:rPr>
        <w:t>优化新能源产业布局；统筹集中集约集聚，优先在沙戈荒地区布局建设千万千瓦级大型风电光伏基地。</w:t>
      </w:r>
    </w:p>
    <w:p>
      <w:pPr>
        <w:pStyle w:val="14"/>
        <w:keepNext w:val="0"/>
        <w:keepLines w:val="0"/>
        <w:pageBreakBefore w:val="0"/>
        <w:widowControl w:val="0"/>
        <w:kinsoku/>
        <w:wordWrap/>
        <w:overflowPunct/>
        <w:topLinePunct/>
        <w:bidi w:val="0"/>
        <w:adjustRightInd w:val="0"/>
        <w:snapToGrid w:val="0"/>
        <w:spacing w:line="580" w:lineRule="exact"/>
        <w:ind w:left="0" w:leftChars="0" w:firstLine="723"/>
        <w:textAlignment w:val="auto"/>
        <w:rPr>
          <w:rFonts w:hint="eastAsia" w:ascii="仿宋" w:hAnsi="仿宋" w:eastAsia="仿宋" w:cs="仿宋"/>
          <w:b w:val="0"/>
          <w:bCs w:val="0"/>
          <w:sz w:val="32"/>
          <w:szCs w:val="32"/>
        </w:rPr>
      </w:pPr>
      <w:r>
        <w:rPr>
          <w:rFonts w:hint="eastAsia" w:ascii="方正小标宋_GBK" w:hAnsi="方正小标宋_GBK" w:eastAsia="方正小标宋_GBK" w:cs="方正小标宋_GBK"/>
          <w:b w:val="0"/>
          <w:bCs w:val="0"/>
          <w:spacing w:val="-6"/>
          <w:sz w:val="32"/>
          <w:szCs w:val="32"/>
          <w:lang w:eastAsia="zh-CN"/>
        </w:rPr>
        <w:t>——</w:t>
      </w:r>
      <w:r>
        <w:rPr>
          <w:rFonts w:hint="eastAsia" w:ascii="仿宋" w:hAnsi="仿宋" w:eastAsia="仿宋" w:cs="仿宋"/>
          <w:b w:val="0"/>
          <w:bCs w:val="0"/>
          <w:sz w:val="32"/>
          <w:szCs w:val="32"/>
        </w:rPr>
        <w:t>坚持多元化发展，坚持以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新能源+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为着力点，多元化拓展新能源应用新领域、新场景，</w:t>
      </w:r>
      <w:r>
        <w:rPr>
          <w:rFonts w:hint="eastAsia" w:ascii="仿宋" w:hAnsi="仿宋" w:eastAsia="仿宋" w:cs="仿宋"/>
          <w:b w:val="0"/>
          <w:bCs w:val="0"/>
          <w:spacing w:val="6"/>
          <w:sz w:val="32"/>
          <w:szCs w:val="32"/>
        </w:rPr>
        <w:t>优先市场化并网消纳项目，</w:t>
      </w:r>
      <w:r>
        <w:rPr>
          <w:rFonts w:hint="eastAsia" w:ascii="仿宋" w:hAnsi="仿宋" w:eastAsia="仿宋" w:cs="仿宋"/>
          <w:b w:val="0"/>
          <w:bCs w:val="0"/>
          <w:sz w:val="32"/>
          <w:szCs w:val="32"/>
        </w:rPr>
        <w:t>着力在绿电存量替代和增量供给、绿电制绿氢、绿电吸引产业落地上下功夫，推进新能源就地消纳利用。</w:t>
      </w:r>
    </w:p>
    <w:p>
      <w:pPr>
        <w:pStyle w:val="14"/>
        <w:keepNext w:val="0"/>
        <w:keepLines w:val="0"/>
        <w:pageBreakBefore w:val="0"/>
        <w:widowControl w:val="0"/>
        <w:kinsoku/>
        <w:wordWrap/>
        <w:overflowPunct/>
        <w:topLinePunct/>
        <w:bidi w:val="0"/>
        <w:adjustRightInd w:val="0"/>
        <w:snapToGrid w:val="0"/>
        <w:spacing w:line="580" w:lineRule="exact"/>
        <w:ind w:left="0" w:leftChars="0" w:firstLine="723"/>
        <w:textAlignment w:val="auto"/>
        <w:rPr>
          <w:rFonts w:hint="eastAsia" w:ascii="仿宋" w:hAnsi="仿宋" w:eastAsia="仿宋" w:cs="仿宋"/>
          <w:b w:val="0"/>
          <w:bCs w:val="0"/>
          <w:sz w:val="32"/>
          <w:szCs w:val="32"/>
        </w:rPr>
      </w:pPr>
      <w:r>
        <w:rPr>
          <w:rFonts w:hint="eastAsia" w:ascii="方正小标宋_GBK" w:hAnsi="方正小标宋_GBK" w:eastAsia="方正小标宋_GBK" w:cs="方正小标宋_GBK"/>
          <w:b w:val="0"/>
          <w:bCs w:val="0"/>
          <w:sz w:val="32"/>
          <w:szCs w:val="32"/>
          <w:lang w:eastAsia="zh-CN"/>
        </w:rPr>
        <w:t>——</w:t>
      </w:r>
      <w:r>
        <w:rPr>
          <w:rFonts w:hint="eastAsia" w:ascii="仿宋" w:hAnsi="仿宋" w:eastAsia="仿宋" w:cs="仿宋"/>
          <w:b w:val="0"/>
          <w:bCs w:val="0"/>
          <w:sz w:val="32"/>
          <w:szCs w:val="32"/>
        </w:rPr>
        <w:t>坚持全产业链发展，坚持链式思维，协同推进新能源开发利用与新能源装备制造产业发展，</w:t>
      </w:r>
      <w:r>
        <w:rPr>
          <w:rFonts w:hint="eastAsia" w:ascii="仿宋" w:hAnsi="仿宋" w:eastAsia="仿宋" w:cs="仿宋"/>
          <w:b w:val="0"/>
          <w:bCs w:val="0"/>
          <w:spacing w:val="6"/>
          <w:sz w:val="32"/>
          <w:szCs w:val="32"/>
        </w:rPr>
        <w:t>以风光氢储产业链为重点，</w:t>
      </w:r>
      <w:r>
        <w:rPr>
          <w:rFonts w:hint="eastAsia" w:ascii="仿宋" w:hAnsi="仿宋" w:eastAsia="仿宋" w:cs="仿宋"/>
          <w:b w:val="0"/>
          <w:bCs w:val="0"/>
          <w:sz w:val="32"/>
          <w:szCs w:val="32"/>
        </w:rPr>
        <w:t>深入实施延链补链强链行动和质量提升行动，支持区内大型风电、光伏发电企业与高精尖装备制造企业开展深度合作，推进装备制造产业集群建设。</w:t>
      </w:r>
    </w:p>
    <w:bookmarkEnd w:id="11"/>
    <w:bookmarkEnd w:id="12"/>
    <w:bookmarkEnd w:id="13"/>
    <w:bookmarkEnd w:id="18"/>
    <w:p>
      <w:pPr>
        <w:pStyle w:val="18"/>
        <w:keepNext w:val="0"/>
        <w:keepLines w:val="0"/>
        <w:pageBreakBefore w:val="0"/>
        <w:widowControl w:val="0"/>
        <w:kinsoku/>
        <w:wordWrap/>
        <w:overflowPunct/>
        <w:topLinePunct/>
        <w:bidi w:val="0"/>
        <w:adjustRightInd w:val="0"/>
        <w:snapToGrid w:val="0"/>
        <w:spacing w:line="580" w:lineRule="exact"/>
        <w:textAlignment w:val="auto"/>
        <w:rPr>
          <w:rFonts w:hint="eastAsia" w:ascii="仿宋" w:hAnsi="仿宋" w:eastAsia="仿宋" w:cs="仿宋"/>
          <w:b w:val="0"/>
          <w:bCs w:val="0"/>
          <w:sz w:val="32"/>
          <w:szCs w:val="32"/>
        </w:rPr>
      </w:pPr>
      <w:bookmarkStart w:id="19" w:name="_Toc141285128"/>
      <w:r>
        <w:rPr>
          <w:rFonts w:hint="eastAsia" w:ascii="楷体" w:hAnsi="楷体" w:eastAsia="楷体" w:cs="楷体"/>
          <w:b w:val="0"/>
          <w:bCs w:val="0"/>
          <w:sz w:val="32"/>
          <w:szCs w:val="32"/>
        </w:rPr>
        <w:t>（二）发展目标</w:t>
      </w:r>
      <w:bookmarkEnd w:id="19"/>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rPr>
        <w:t>立足自治区资源和区位优势，大力发展以风力发电光伏发电为主体的新能源产业体系，努力构建绿色低碳的新型电力系统，加大新能源技术研发力度持续创新突破。以2022年为基准年，力争2025年实现新能源规模、</w:t>
      </w:r>
      <w:r>
        <w:rPr>
          <w:rFonts w:hint="eastAsia" w:ascii="仿宋" w:hAnsi="仿宋" w:eastAsia="仿宋" w:cs="仿宋"/>
          <w:b w:val="0"/>
          <w:bCs w:val="0"/>
          <w:sz w:val="32"/>
          <w:szCs w:val="32"/>
          <w:lang w:eastAsia="zh-CN"/>
        </w:rPr>
        <w:t>新能源</w:t>
      </w:r>
      <w:r>
        <w:rPr>
          <w:rFonts w:hint="eastAsia" w:ascii="仿宋" w:hAnsi="仿宋" w:eastAsia="仿宋" w:cs="仿宋"/>
          <w:b w:val="0"/>
          <w:bCs w:val="0"/>
          <w:sz w:val="32"/>
          <w:szCs w:val="32"/>
        </w:rPr>
        <w:t>质量倍增，新能源带动效益倍增，新能源科技创新能力、风光氢储电装备制造产业链倍增；到2030年，新能源装机容量超过3亿千瓦，新能源发电总量超过火电发电总量。</w:t>
      </w:r>
    </w:p>
    <w:p>
      <w:pPr>
        <w:pStyle w:val="14"/>
        <w:keepNext w:val="0"/>
        <w:keepLines w:val="0"/>
        <w:pageBreakBefore w:val="0"/>
        <w:widowControl w:val="0"/>
        <w:kinsoku/>
        <w:wordWrap/>
        <w:overflowPunct/>
        <w:topLinePunct/>
        <w:bidi w:val="0"/>
        <w:adjustRightInd w:val="0"/>
        <w:snapToGrid w:val="0"/>
        <w:spacing w:line="580" w:lineRule="exact"/>
        <w:ind w:left="0" w:leftChars="0" w:firstLine="723"/>
        <w:textAlignment w:val="auto"/>
        <w:rPr>
          <w:rFonts w:hint="eastAsia" w:ascii="仿宋" w:hAnsi="仿宋" w:eastAsia="仿宋" w:cs="仿宋"/>
          <w:b w:val="0"/>
          <w:bCs w:val="0"/>
          <w:sz w:val="32"/>
          <w:szCs w:val="32"/>
        </w:rPr>
      </w:pPr>
      <w:r>
        <w:rPr>
          <w:rFonts w:hint="eastAsia" w:ascii="方正小标宋_GBK" w:hAnsi="方正小标宋_GBK" w:eastAsia="方正小标宋_GBK" w:cs="方正小标宋_GBK"/>
          <w:b w:val="0"/>
          <w:bCs w:val="0"/>
          <w:sz w:val="32"/>
          <w:szCs w:val="32"/>
          <w:lang w:eastAsia="zh-CN"/>
        </w:rPr>
        <w:t>——</w:t>
      </w:r>
      <w:r>
        <w:rPr>
          <w:rFonts w:hint="eastAsia" w:ascii="仿宋" w:hAnsi="仿宋" w:eastAsia="仿宋" w:cs="仿宋"/>
          <w:b w:val="0"/>
          <w:bCs w:val="0"/>
          <w:sz w:val="32"/>
          <w:szCs w:val="32"/>
        </w:rPr>
        <w:t>规模倍增</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推动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十四五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后三年每年新增新能源发电装机约3000万千瓦，力争到2025年，全区新能源发电装机达到1.5亿千瓦以上，发电量达到3000亿千瓦时，跨省跨区外送电量超过1000亿千瓦时，均比2022年实现倍增；到2030年，新能源装机规模超过3亿千瓦，发电量接近6000亿千瓦时，跨省跨区外送电量达到2000亿千瓦时。</w:t>
      </w:r>
    </w:p>
    <w:p>
      <w:pPr>
        <w:pStyle w:val="14"/>
        <w:keepNext w:val="0"/>
        <w:keepLines w:val="0"/>
        <w:pageBreakBefore w:val="0"/>
        <w:widowControl w:val="0"/>
        <w:kinsoku/>
        <w:wordWrap/>
        <w:overflowPunct/>
        <w:topLinePunct/>
        <w:bidi w:val="0"/>
        <w:adjustRightInd w:val="0"/>
        <w:snapToGrid w:val="0"/>
        <w:spacing w:line="580" w:lineRule="exact"/>
        <w:ind w:left="0" w:leftChars="0" w:firstLine="723"/>
        <w:textAlignment w:val="auto"/>
        <w:rPr>
          <w:rFonts w:hint="eastAsia" w:ascii="仿宋" w:hAnsi="仿宋" w:eastAsia="仿宋" w:cs="仿宋"/>
          <w:b w:val="0"/>
          <w:bCs w:val="0"/>
          <w:sz w:val="32"/>
          <w:szCs w:val="32"/>
        </w:rPr>
      </w:pPr>
      <w:bookmarkStart w:id="20" w:name="_Toc141021680"/>
      <w:bookmarkStart w:id="21" w:name="_Toc141020741"/>
      <w:bookmarkStart w:id="22" w:name="_Toc141021656"/>
      <w:r>
        <w:rPr>
          <w:rFonts w:hint="eastAsia" w:ascii="方正小标宋_GBK" w:hAnsi="方正小标宋_GBK" w:eastAsia="方正小标宋_GBK" w:cs="方正小标宋_GBK"/>
          <w:b w:val="0"/>
          <w:bCs w:val="0"/>
          <w:spacing w:val="-6"/>
          <w:sz w:val="32"/>
          <w:szCs w:val="32"/>
          <w:lang w:eastAsia="zh-CN"/>
        </w:rPr>
        <w:t>——</w:t>
      </w:r>
      <w:r>
        <w:rPr>
          <w:rFonts w:hint="eastAsia" w:ascii="仿宋" w:hAnsi="仿宋" w:eastAsia="仿宋" w:cs="仿宋"/>
          <w:b w:val="0"/>
          <w:bCs w:val="0"/>
          <w:sz w:val="32"/>
          <w:szCs w:val="32"/>
        </w:rPr>
        <w:t>质量倍增</w:t>
      </w:r>
      <w:bookmarkEnd w:id="20"/>
      <w:bookmarkEnd w:id="21"/>
      <w:bookmarkEnd w:id="22"/>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力争到2025年，自治区新能源本地消纳电量超过</w:t>
      </w:r>
      <w:r>
        <w:rPr>
          <w:rFonts w:hint="eastAsia" w:ascii="仿宋" w:hAnsi="仿宋" w:eastAsia="仿宋" w:cs="仿宋"/>
          <w:b w:val="0"/>
          <w:bCs w:val="0"/>
          <w:spacing w:val="0"/>
          <w:sz w:val="32"/>
          <w:szCs w:val="32"/>
        </w:rPr>
        <w:t>2000亿千瓦时，灵活性调节能力达到1500万千瓦左右；</w:t>
      </w:r>
      <w:r>
        <w:rPr>
          <w:rFonts w:hint="eastAsia" w:ascii="仿宋" w:hAnsi="仿宋" w:eastAsia="仿宋" w:cs="仿宋"/>
          <w:b w:val="0"/>
          <w:bCs w:val="0"/>
          <w:sz w:val="32"/>
          <w:szCs w:val="32"/>
        </w:rPr>
        <w:t>到2030年，新能源本地消纳电量达到4000亿千瓦时，灵活性调节能力达到3000万千瓦左右。</w:t>
      </w:r>
    </w:p>
    <w:p>
      <w:pPr>
        <w:pStyle w:val="14"/>
        <w:keepNext w:val="0"/>
        <w:keepLines w:val="0"/>
        <w:pageBreakBefore w:val="0"/>
        <w:widowControl w:val="0"/>
        <w:kinsoku/>
        <w:wordWrap/>
        <w:overflowPunct/>
        <w:topLinePunct/>
        <w:bidi w:val="0"/>
        <w:adjustRightInd w:val="0"/>
        <w:snapToGrid w:val="0"/>
        <w:spacing w:line="580" w:lineRule="exact"/>
        <w:ind w:left="0" w:leftChars="0" w:firstLine="723"/>
        <w:textAlignment w:val="auto"/>
        <w:rPr>
          <w:rFonts w:hint="eastAsia" w:ascii="仿宋" w:hAnsi="仿宋" w:eastAsia="仿宋" w:cs="仿宋"/>
          <w:b w:val="0"/>
          <w:bCs w:val="0"/>
          <w:sz w:val="32"/>
          <w:szCs w:val="32"/>
        </w:rPr>
      </w:pPr>
      <w:bookmarkStart w:id="23" w:name="_Toc141020742"/>
      <w:bookmarkStart w:id="24" w:name="_Toc141021681"/>
      <w:bookmarkStart w:id="25" w:name="_Toc141021657"/>
      <w:r>
        <w:rPr>
          <w:rFonts w:hint="eastAsia" w:ascii="方正小标宋_GBK" w:hAnsi="方正小标宋_GBK" w:eastAsia="方正小标宋_GBK" w:cs="方正小标宋_GBK"/>
          <w:b w:val="0"/>
          <w:bCs w:val="0"/>
          <w:spacing w:val="-6"/>
          <w:sz w:val="32"/>
          <w:szCs w:val="32"/>
          <w:lang w:eastAsia="zh-CN"/>
        </w:rPr>
        <w:t>——</w:t>
      </w:r>
      <w:r>
        <w:rPr>
          <w:rFonts w:hint="eastAsia" w:ascii="仿宋" w:hAnsi="仿宋" w:eastAsia="仿宋" w:cs="仿宋"/>
          <w:b w:val="0"/>
          <w:bCs w:val="0"/>
          <w:sz w:val="32"/>
          <w:szCs w:val="32"/>
        </w:rPr>
        <w:t>效益倍增</w:t>
      </w:r>
      <w:bookmarkEnd w:id="23"/>
      <w:bookmarkEnd w:id="24"/>
      <w:bookmarkEnd w:id="25"/>
      <w:bookmarkStart w:id="26" w:name="_Hlk141040383"/>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到2025年底，新能源电站及相关产业链累计带动投资9500亿元以上，GDP贡献占比超过10%，替代火电节约标煤超过0.9亿吨，减少二氧化碳排放超过1.6亿吨；到2030年，新能源电站及相关产业链累计带动投资15000亿元以上，GDP贡献占比超过15%，替代火电节约标煤超过1.8亿吨，减少二氧化碳排放超过3.1亿吨。</w:t>
      </w:r>
    </w:p>
    <w:p>
      <w:pPr>
        <w:pStyle w:val="14"/>
        <w:keepNext w:val="0"/>
        <w:keepLines w:val="0"/>
        <w:pageBreakBefore w:val="0"/>
        <w:widowControl w:val="0"/>
        <w:kinsoku/>
        <w:wordWrap/>
        <w:overflowPunct/>
        <w:topLinePunct/>
        <w:bidi w:val="0"/>
        <w:adjustRightInd w:val="0"/>
        <w:snapToGrid w:val="0"/>
        <w:spacing w:line="580" w:lineRule="exact"/>
        <w:ind w:left="0" w:leftChars="0" w:firstLine="723"/>
        <w:textAlignment w:val="auto"/>
        <w:rPr>
          <w:rFonts w:hint="eastAsia" w:ascii="仿宋" w:hAnsi="仿宋" w:eastAsia="仿宋" w:cs="仿宋"/>
          <w:b w:val="0"/>
          <w:bCs w:val="0"/>
          <w:sz w:val="32"/>
          <w:szCs w:val="32"/>
        </w:rPr>
      </w:pPr>
    </w:p>
    <w:p>
      <w:pPr>
        <w:pStyle w:val="14"/>
        <w:keepNext w:val="0"/>
        <w:keepLines w:val="0"/>
        <w:pageBreakBefore w:val="0"/>
        <w:widowControl w:val="0"/>
        <w:kinsoku/>
        <w:wordWrap/>
        <w:overflowPunct/>
        <w:topLinePunct/>
        <w:bidi w:val="0"/>
        <w:adjustRightInd w:val="0"/>
        <w:snapToGrid w:val="0"/>
        <w:spacing w:line="580" w:lineRule="exact"/>
        <w:ind w:left="0" w:leftChars="0" w:firstLine="723"/>
        <w:textAlignment w:val="auto"/>
        <w:rPr>
          <w:rFonts w:hint="eastAsia" w:ascii="仿宋" w:hAnsi="仿宋" w:eastAsia="仿宋" w:cs="仿宋"/>
          <w:b w:val="0"/>
          <w:bCs w:val="0"/>
          <w:sz w:val="32"/>
          <w:szCs w:val="32"/>
        </w:rPr>
      </w:pPr>
    </w:p>
    <w:bookmarkEnd w:id="26"/>
    <w:tbl>
      <w:tblPr>
        <w:tblStyle w:val="10"/>
        <w:tblW w:w="8901" w:type="dxa"/>
        <w:jc w:val="center"/>
        <w:tblInd w:w="0" w:type="dxa"/>
        <w:tblLayout w:type="fixed"/>
        <w:tblCellMar>
          <w:top w:w="0" w:type="dxa"/>
          <w:left w:w="28" w:type="dxa"/>
          <w:bottom w:w="0" w:type="dxa"/>
          <w:right w:w="28" w:type="dxa"/>
        </w:tblCellMar>
      </w:tblPr>
      <w:tblGrid>
        <w:gridCol w:w="807"/>
        <w:gridCol w:w="4296"/>
        <w:gridCol w:w="1266"/>
        <w:gridCol w:w="1266"/>
        <w:gridCol w:w="1266"/>
      </w:tblGrid>
      <w:tr>
        <w:tblPrEx>
          <w:tblLayout w:type="fixed"/>
          <w:tblCellMar>
            <w:top w:w="0" w:type="dxa"/>
            <w:left w:w="28" w:type="dxa"/>
            <w:bottom w:w="0" w:type="dxa"/>
            <w:right w:w="28" w:type="dxa"/>
          </w:tblCellMar>
        </w:tblPrEx>
        <w:trPr>
          <w:trHeight w:val="595" w:hRule="exact"/>
          <w:jc w:val="center"/>
        </w:trPr>
        <w:tc>
          <w:tcPr>
            <w:tcW w:w="8901" w:type="dxa"/>
            <w:gridSpan w:val="5"/>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方正仿宋_GBK" w:hAnsi="方正仿宋_GBK" w:eastAsia="方正仿宋_GBK" w:cs="方正仿宋_GBK"/>
                <w:b w:val="0"/>
                <w:bCs w:val="0"/>
                <w:color w:val="000000"/>
                <w:kern w:val="2"/>
                <w:sz w:val="28"/>
                <w:szCs w:val="28"/>
              </w:rPr>
            </w:pPr>
            <w:bookmarkStart w:id="27" w:name="_Hlk141040389"/>
            <w:r>
              <w:rPr>
                <w:rFonts w:hint="eastAsia" w:ascii="黑体" w:hAnsi="黑体" w:eastAsia="黑体" w:cs="黑体"/>
                <w:b w:val="0"/>
                <w:bCs w:val="0"/>
                <w:color w:val="000000"/>
                <w:spacing w:val="93"/>
                <w:kern w:val="0"/>
                <w:sz w:val="28"/>
                <w:szCs w:val="28"/>
                <w:fitText w:val="1680" w:id="1006312228"/>
              </w:rPr>
              <w:t>发展目</w:t>
            </w:r>
            <w:r>
              <w:rPr>
                <w:rFonts w:hint="eastAsia" w:ascii="黑体" w:hAnsi="黑体" w:eastAsia="黑体" w:cs="黑体"/>
                <w:b w:val="0"/>
                <w:bCs w:val="0"/>
                <w:color w:val="000000"/>
                <w:spacing w:val="1"/>
                <w:kern w:val="0"/>
                <w:sz w:val="28"/>
                <w:szCs w:val="28"/>
                <w:fitText w:val="1680" w:id="1006312228"/>
              </w:rPr>
              <w:t>标</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黑体" w:hAnsi="黑体" w:eastAsia="黑体" w:cs="黑体"/>
                <w:b w:val="0"/>
                <w:bCs w:val="0"/>
                <w:color w:val="000000"/>
                <w:kern w:val="2"/>
                <w:sz w:val="28"/>
                <w:szCs w:val="28"/>
              </w:rPr>
            </w:pPr>
            <w:r>
              <w:rPr>
                <w:rFonts w:hint="eastAsia" w:ascii="黑体" w:hAnsi="黑体" w:eastAsia="黑体" w:cs="黑体"/>
                <w:b w:val="0"/>
                <w:bCs w:val="0"/>
                <w:color w:val="000000"/>
                <w:kern w:val="2"/>
                <w:sz w:val="28"/>
                <w:szCs w:val="28"/>
              </w:rPr>
              <w:t>序号</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黑体" w:hAnsi="黑体" w:eastAsia="黑体" w:cs="黑体"/>
                <w:b w:val="0"/>
                <w:bCs w:val="0"/>
                <w:color w:val="000000"/>
                <w:kern w:val="2"/>
                <w:sz w:val="28"/>
                <w:szCs w:val="28"/>
              </w:rPr>
            </w:pPr>
            <w:r>
              <w:rPr>
                <w:rFonts w:hint="eastAsia" w:ascii="黑体" w:hAnsi="黑体" w:eastAsia="黑体" w:cs="黑体"/>
                <w:b w:val="0"/>
                <w:bCs w:val="0"/>
                <w:color w:val="000000"/>
                <w:spacing w:val="280"/>
                <w:kern w:val="0"/>
                <w:sz w:val="28"/>
                <w:szCs w:val="28"/>
                <w:fitText w:val="1120" w:id="1811491471"/>
              </w:rPr>
              <w:t>类</w:t>
            </w:r>
            <w:r>
              <w:rPr>
                <w:rFonts w:hint="eastAsia" w:ascii="黑体" w:hAnsi="黑体" w:eastAsia="黑体" w:cs="黑体"/>
                <w:b w:val="0"/>
                <w:bCs w:val="0"/>
                <w:color w:val="000000"/>
                <w:spacing w:val="0"/>
                <w:kern w:val="0"/>
                <w:sz w:val="28"/>
                <w:szCs w:val="28"/>
                <w:fitText w:val="1120" w:id="1811491471"/>
              </w:rPr>
              <w:t>别</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黑体" w:hAnsi="黑体" w:eastAsia="黑体" w:cs="黑体"/>
                <w:b w:val="0"/>
                <w:bCs w:val="0"/>
                <w:color w:val="000000"/>
                <w:kern w:val="2"/>
                <w:sz w:val="28"/>
                <w:szCs w:val="28"/>
              </w:rPr>
            </w:pPr>
            <w:r>
              <w:rPr>
                <w:rFonts w:hint="eastAsia" w:ascii="黑体" w:hAnsi="黑体" w:eastAsia="黑体" w:cs="黑体"/>
                <w:b w:val="0"/>
                <w:bCs w:val="0"/>
                <w:color w:val="000000"/>
                <w:kern w:val="2"/>
                <w:sz w:val="28"/>
                <w:szCs w:val="28"/>
              </w:rPr>
              <w:t>2022年</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黑体" w:hAnsi="黑体" w:eastAsia="黑体" w:cs="黑体"/>
                <w:b w:val="0"/>
                <w:bCs w:val="0"/>
                <w:color w:val="000000"/>
                <w:kern w:val="2"/>
                <w:sz w:val="28"/>
                <w:szCs w:val="28"/>
              </w:rPr>
            </w:pPr>
            <w:r>
              <w:rPr>
                <w:rFonts w:hint="eastAsia" w:ascii="黑体" w:hAnsi="黑体" w:eastAsia="黑体" w:cs="黑体"/>
                <w:b w:val="0"/>
                <w:bCs w:val="0"/>
                <w:color w:val="000000"/>
                <w:kern w:val="2"/>
                <w:sz w:val="28"/>
                <w:szCs w:val="28"/>
              </w:rPr>
              <w:t>2025年</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黑体" w:hAnsi="黑体" w:eastAsia="黑体" w:cs="黑体"/>
                <w:b w:val="0"/>
                <w:bCs w:val="0"/>
                <w:color w:val="000000"/>
                <w:kern w:val="2"/>
                <w:sz w:val="28"/>
                <w:szCs w:val="28"/>
              </w:rPr>
            </w:pPr>
            <w:r>
              <w:rPr>
                <w:rFonts w:hint="eastAsia" w:ascii="黑体" w:hAnsi="黑体" w:eastAsia="黑体" w:cs="黑体"/>
                <w:b w:val="0"/>
                <w:bCs w:val="0"/>
                <w:color w:val="000000"/>
                <w:kern w:val="2"/>
                <w:sz w:val="28"/>
                <w:szCs w:val="28"/>
              </w:rPr>
              <w:t>2030年</w:t>
            </w:r>
          </w:p>
        </w:tc>
      </w:tr>
      <w:tr>
        <w:tblPrEx>
          <w:tblLayout w:type="fixed"/>
          <w:tblCellMar>
            <w:top w:w="0" w:type="dxa"/>
            <w:left w:w="28" w:type="dxa"/>
            <w:bottom w:w="0" w:type="dxa"/>
            <w:right w:w="28" w:type="dxa"/>
          </w:tblCellMar>
        </w:tblPrEx>
        <w:trPr>
          <w:trHeight w:val="595" w:hRule="exact"/>
          <w:jc w:val="center"/>
        </w:trPr>
        <w:tc>
          <w:tcPr>
            <w:tcW w:w="8901" w:type="dxa"/>
            <w:gridSpan w:val="5"/>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方正楷体_GBK" w:hAnsi="方正楷体_GBK" w:eastAsia="方正楷体_GBK" w:cs="方正楷体_GBK"/>
                <w:b w:val="0"/>
                <w:bCs w:val="0"/>
                <w:color w:val="000000"/>
                <w:kern w:val="2"/>
                <w:sz w:val="28"/>
                <w:szCs w:val="28"/>
              </w:rPr>
            </w:pPr>
            <w:r>
              <w:rPr>
                <w:rFonts w:hint="eastAsia" w:ascii="楷体" w:hAnsi="楷体" w:eastAsia="楷体" w:cs="楷体"/>
                <w:b w:val="0"/>
                <w:bCs w:val="0"/>
                <w:color w:val="000000"/>
                <w:kern w:val="2"/>
                <w:sz w:val="28"/>
                <w:szCs w:val="28"/>
              </w:rPr>
              <w:t>一</w:t>
            </w:r>
            <w:r>
              <w:rPr>
                <w:rFonts w:hint="eastAsia" w:ascii="楷体" w:hAnsi="楷体" w:eastAsia="楷体" w:cs="楷体"/>
                <w:b w:val="0"/>
                <w:bCs w:val="0"/>
                <w:color w:val="000000"/>
                <w:kern w:val="2"/>
                <w:sz w:val="28"/>
                <w:szCs w:val="28"/>
                <w:lang w:eastAsia="zh-CN"/>
              </w:rPr>
              <w:t>、</w:t>
            </w:r>
            <w:r>
              <w:rPr>
                <w:rFonts w:hint="eastAsia" w:ascii="楷体" w:hAnsi="楷体" w:eastAsia="楷体" w:cs="楷体"/>
                <w:b w:val="0"/>
                <w:bCs w:val="0"/>
                <w:color w:val="000000"/>
                <w:kern w:val="2"/>
                <w:sz w:val="28"/>
                <w:szCs w:val="28"/>
              </w:rPr>
              <w:t>总体指标</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1.1</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新能源生产总量（亿吨）</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0.4</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0.9</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1.8</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1.2</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新能源利用总量（亿吨）</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0.3</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0.6</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1.3</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1.3</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新能源装机占比</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36.5%</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50%</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65%</w:t>
            </w:r>
          </w:p>
        </w:tc>
      </w:tr>
      <w:tr>
        <w:tblPrEx>
          <w:tblLayout w:type="fixed"/>
          <w:tblCellMar>
            <w:top w:w="0" w:type="dxa"/>
            <w:left w:w="28" w:type="dxa"/>
            <w:bottom w:w="0" w:type="dxa"/>
            <w:right w:w="28" w:type="dxa"/>
          </w:tblCellMar>
        </w:tblPrEx>
        <w:trPr>
          <w:trHeight w:val="595" w:hRule="exact"/>
          <w:jc w:val="center"/>
        </w:trPr>
        <w:tc>
          <w:tcPr>
            <w:tcW w:w="8901" w:type="dxa"/>
            <w:gridSpan w:val="5"/>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方正仿宋_GBK" w:hAnsi="方正仿宋_GBK" w:eastAsia="方正仿宋_GBK" w:cs="方正仿宋_GBK"/>
                <w:b w:val="0"/>
                <w:bCs w:val="0"/>
                <w:color w:val="000000"/>
                <w:kern w:val="2"/>
                <w:sz w:val="28"/>
                <w:szCs w:val="28"/>
              </w:rPr>
            </w:pPr>
            <w:r>
              <w:rPr>
                <w:rFonts w:hint="eastAsia" w:ascii="楷体" w:hAnsi="楷体" w:eastAsia="楷体" w:cs="楷体"/>
                <w:b w:val="0"/>
                <w:bCs w:val="0"/>
                <w:color w:val="000000"/>
                <w:kern w:val="2"/>
                <w:sz w:val="28"/>
                <w:szCs w:val="28"/>
              </w:rPr>
              <w:t>二</w:t>
            </w:r>
            <w:r>
              <w:rPr>
                <w:rFonts w:hint="eastAsia" w:ascii="楷体" w:hAnsi="楷体" w:eastAsia="楷体" w:cs="楷体"/>
                <w:b w:val="0"/>
                <w:bCs w:val="0"/>
                <w:color w:val="000000"/>
                <w:kern w:val="2"/>
                <w:sz w:val="28"/>
                <w:szCs w:val="28"/>
                <w:lang w:eastAsia="zh-CN"/>
              </w:rPr>
              <w:t>、</w:t>
            </w:r>
            <w:r>
              <w:rPr>
                <w:rFonts w:hint="eastAsia" w:ascii="楷体" w:hAnsi="楷体" w:eastAsia="楷体" w:cs="楷体"/>
                <w:b w:val="0"/>
                <w:bCs w:val="0"/>
                <w:color w:val="000000"/>
                <w:kern w:val="2"/>
                <w:sz w:val="28"/>
                <w:szCs w:val="28"/>
              </w:rPr>
              <w:t>新能源消纳指标</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2.1</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新能源消费占比</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11.5%</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&gt;18%</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&gt;25%</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2.2</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新能源本地消纳电量（亿千瓦时）</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1029</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2000</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4000</w:t>
            </w:r>
          </w:p>
        </w:tc>
      </w:tr>
      <w:tr>
        <w:tblPrEx>
          <w:tblLayout w:type="fixed"/>
          <w:tblCellMar>
            <w:top w:w="0" w:type="dxa"/>
            <w:left w:w="28" w:type="dxa"/>
            <w:bottom w:w="0" w:type="dxa"/>
            <w:right w:w="28" w:type="dxa"/>
          </w:tblCellMar>
        </w:tblPrEx>
        <w:trPr>
          <w:trHeight w:val="595" w:hRule="exact"/>
          <w:jc w:val="center"/>
        </w:trPr>
        <w:tc>
          <w:tcPr>
            <w:tcW w:w="8901" w:type="dxa"/>
            <w:gridSpan w:val="5"/>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方正仿宋_GBK" w:hAnsi="方正仿宋_GBK" w:eastAsia="方正仿宋_GBK" w:cs="方正仿宋_GBK"/>
                <w:b w:val="0"/>
                <w:bCs w:val="0"/>
                <w:color w:val="000000"/>
                <w:kern w:val="2"/>
                <w:sz w:val="28"/>
                <w:szCs w:val="28"/>
              </w:rPr>
            </w:pPr>
            <w:r>
              <w:rPr>
                <w:rFonts w:hint="eastAsia" w:ascii="楷体" w:hAnsi="楷体" w:eastAsia="楷体" w:cs="楷体"/>
                <w:b w:val="0"/>
                <w:bCs w:val="0"/>
                <w:color w:val="000000"/>
                <w:kern w:val="2"/>
                <w:sz w:val="28"/>
                <w:szCs w:val="28"/>
              </w:rPr>
              <w:t>三</w:t>
            </w:r>
            <w:r>
              <w:rPr>
                <w:rFonts w:hint="eastAsia" w:ascii="楷体" w:hAnsi="楷体" w:eastAsia="楷体" w:cs="楷体"/>
                <w:b w:val="0"/>
                <w:bCs w:val="0"/>
                <w:color w:val="000000"/>
                <w:kern w:val="2"/>
                <w:sz w:val="28"/>
                <w:szCs w:val="28"/>
                <w:lang w:eastAsia="zh-CN"/>
              </w:rPr>
              <w:t>、</w:t>
            </w:r>
            <w:r>
              <w:rPr>
                <w:rFonts w:hint="eastAsia" w:ascii="楷体" w:hAnsi="楷体" w:eastAsia="楷体" w:cs="楷体"/>
                <w:b w:val="0"/>
                <w:bCs w:val="0"/>
                <w:color w:val="000000"/>
                <w:kern w:val="2"/>
                <w:sz w:val="28"/>
                <w:szCs w:val="28"/>
              </w:rPr>
              <w:t>新能源发电装机</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3.1</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风力发电（万千瓦）</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4568</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9800</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18000</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3.2</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太阳能发电（万千瓦）</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1558</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5200</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12000</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3.3</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spacing w:val="280"/>
                <w:kern w:val="0"/>
                <w:sz w:val="28"/>
                <w:szCs w:val="28"/>
                <w:fitText w:val="1120" w:id="292371524"/>
              </w:rPr>
              <w:t>合</w:t>
            </w:r>
            <w:r>
              <w:rPr>
                <w:rFonts w:hint="eastAsia" w:ascii="仿宋" w:hAnsi="仿宋" w:eastAsia="仿宋" w:cs="仿宋"/>
                <w:b w:val="0"/>
                <w:bCs w:val="0"/>
                <w:color w:val="000000"/>
                <w:spacing w:val="0"/>
                <w:kern w:val="0"/>
                <w:sz w:val="28"/>
                <w:szCs w:val="28"/>
                <w:fitText w:val="1120" w:id="292371524"/>
              </w:rPr>
              <w:t>计</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6126</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15000</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30000</w:t>
            </w:r>
          </w:p>
        </w:tc>
      </w:tr>
      <w:tr>
        <w:tblPrEx>
          <w:tblLayout w:type="fixed"/>
          <w:tblCellMar>
            <w:top w:w="0" w:type="dxa"/>
            <w:left w:w="28" w:type="dxa"/>
            <w:bottom w:w="0" w:type="dxa"/>
            <w:right w:w="28" w:type="dxa"/>
          </w:tblCellMar>
        </w:tblPrEx>
        <w:trPr>
          <w:trHeight w:val="595" w:hRule="exact"/>
          <w:jc w:val="center"/>
        </w:trPr>
        <w:tc>
          <w:tcPr>
            <w:tcW w:w="8901" w:type="dxa"/>
            <w:gridSpan w:val="5"/>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方正仿宋_GBK" w:hAnsi="方正仿宋_GBK" w:eastAsia="方正仿宋_GBK" w:cs="方正仿宋_GBK"/>
                <w:b w:val="0"/>
                <w:bCs w:val="0"/>
                <w:color w:val="000000"/>
                <w:kern w:val="2"/>
                <w:sz w:val="28"/>
                <w:szCs w:val="28"/>
              </w:rPr>
            </w:pPr>
            <w:r>
              <w:rPr>
                <w:rFonts w:hint="eastAsia" w:ascii="方正楷体_GBK" w:hAnsi="方正楷体_GBK" w:eastAsia="方正楷体_GBK" w:cs="方正楷体_GBK"/>
                <w:b w:val="0"/>
                <w:bCs w:val="0"/>
                <w:color w:val="000000"/>
                <w:kern w:val="2"/>
                <w:sz w:val="28"/>
                <w:szCs w:val="28"/>
              </w:rPr>
              <w:t>四</w:t>
            </w:r>
            <w:r>
              <w:rPr>
                <w:rFonts w:hint="eastAsia" w:ascii="方正楷体_GBK" w:hAnsi="方正楷体_GBK" w:eastAsia="方正楷体_GBK" w:cs="方正楷体_GBK"/>
                <w:b w:val="0"/>
                <w:bCs w:val="0"/>
                <w:color w:val="000000"/>
                <w:kern w:val="2"/>
                <w:sz w:val="28"/>
                <w:szCs w:val="28"/>
                <w:lang w:eastAsia="zh-CN"/>
              </w:rPr>
              <w:t>、</w:t>
            </w:r>
            <w:r>
              <w:rPr>
                <w:rFonts w:hint="eastAsia" w:ascii="方正楷体_GBK" w:hAnsi="方正楷体_GBK" w:eastAsia="方正楷体_GBK" w:cs="方正楷体_GBK"/>
                <w:b w:val="0"/>
                <w:bCs w:val="0"/>
                <w:color w:val="000000"/>
                <w:kern w:val="2"/>
                <w:sz w:val="28"/>
                <w:szCs w:val="28"/>
              </w:rPr>
              <w:t>新能源发电量</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4.1</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风力发电（亿千瓦时）</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1077</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2200</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3950</w:t>
            </w:r>
          </w:p>
        </w:tc>
      </w:tr>
      <w:tr>
        <w:tblPrEx>
          <w:tblLayout w:type="fixed"/>
          <w:tblCellMar>
            <w:top w:w="0" w:type="dxa"/>
            <w:left w:w="28" w:type="dxa"/>
            <w:bottom w:w="0" w:type="dxa"/>
            <w:right w:w="28" w:type="dxa"/>
          </w:tblCellMar>
        </w:tblPrEx>
        <w:trPr>
          <w:trHeight w:val="595" w:hRule="exact"/>
          <w:jc w:val="center"/>
        </w:trPr>
        <w:tc>
          <w:tcPr>
            <w:tcW w:w="807"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4.2</w:t>
            </w:r>
          </w:p>
        </w:tc>
        <w:tc>
          <w:tcPr>
            <w:tcW w:w="4296"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太阳能发电（万千瓦）</w:t>
            </w:r>
          </w:p>
        </w:tc>
        <w:tc>
          <w:tcPr>
            <w:tcW w:w="1266"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245</w:t>
            </w:r>
          </w:p>
        </w:tc>
        <w:tc>
          <w:tcPr>
            <w:tcW w:w="1266"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700</w:t>
            </w:r>
          </w:p>
        </w:tc>
        <w:tc>
          <w:tcPr>
            <w:tcW w:w="1266"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1950</w:t>
            </w:r>
          </w:p>
        </w:tc>
      </w:tr>
      <w:tr>
        <w:tblPrEx>
          <w:tblLayout w:type="fixed"/>
          <w:tblCellMar>
            <w:top w:w="0" w:type="dxa"/>
            <w:left w:w="28" w:type="dxa"/>
            <w:bottom w:w="0" w:type="dxa"/>
            <w:right w:w="28" w:type="dxa"/>
          </w:tblCellMar>
        </w:tblPrEx>
        <w:trPr>
          <w:trHeight w:val="567" w:hRule="exact"/>
          <w:jc w:val="center"/>
        </w:trPr>
        <w:tc>
          <w:tcPr>
            <w:tcW w:w="807"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default" w:ascii="楷体" w:hAnsi="楷体" w:eastAsia="楷体" w:cs="楷体"/>
                <w:b w:val="0"/>
                <w:bCs w:val="0"/>
                <w:color w:val="000000"/>
                <w:kern w:val="2"/>
                <w:sz w:val="28"/>
                <w:szCs w:val="28"/>
                <w:lang w:val="en-US" w:eastAsia="zh-CN"/>
              </w:rPr>
            </w:pPr>
            <w:r>
              <w:rPr>
                <w:rFonts w:hint="eastAsia" w:ascii="黑体" w:hAnsi="黑体" w:eastAsia="黑体" w:cs="黑体"/>
                <w:b w:val="0"/>
                <w:bCs w:val="0"/>
                <w:color w:val="000000"/>
                <w:kern w:val="2"/>
                <w:sz w:val="28"/>
                <w:szCs w:val="28"/>
              </w:rPr>
              <w:t>序号</w:t>
            </w:r>
          </w:p>
        </w:tc>
        <w:tc>
          <w:tcPr>
            <w:tcW w:w="429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default" w:ascii="楷体" w:hAnsi="楷体" w:eastAsia="楷体" w:cs="楷体"/>
                <w:b w:val="0"/>
                <w:bCs w:val="0"/>
                <w:color w:val="000000"/>
                <w:kern w:val="2"/>
                <w:sz w:val="28"/>
                <w:szCs w:val="28"/>
                <w:lang w:val="en-US" w:eastAsia="zh-CN"/>
              </w:rPr>
            </w:pPr>
            <w:r>
              <w:rPr>
                <w:rFonts w:hint="eastAsia" w:ascii="黑体" w:hAnsi="黑体" w:eastAsia="黑体" w:cs="黑体"/>
                <w:b w:val="0"/>
                <w:bCs w:val="0"/>
                <w:color w:val="000000"/>
                <w:spacing w:val="280"/>
                <w:kern w:val="0"/>
                <w:sz w:val="28"/>
                <w:szCs w:val="28"/>
                <w:fitText w:val="1120" w:id="1844531929"/>
              </w:rPr>
              <w:t>类</w:t>
            </w:r>
            <w:r>
              <w:rPr>
                <w:rFonts w:hint="eastAsia" w:ascii="黑体" w:hAnsi="黑体" w:eastAsia="黑体" w:cs="黑体"/>
                <w:b w:val="0"/>
                <w:bCs w:val="0"/>
                <w:color w:val="000000"/>
                <w:spacing w:val="0"/>
                <w:kern w:val="0"/>
                <w:sz w:val="28"/>
                <w:szCs w:val="28"/>
                <w:fitText w:val="1120" w:id="1844531929"/>
              </w:rPr>
              <w:t>别</w:t>
            </w:r>
          </w:p>
        </w:tc>
        <w:tc>
          <w:tcPr>
            <w:tcW w:w="126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default" w:ascii="楷体" w:hAnsi="楷体" w:eastAsia="楷体" w:cs="楷体"/>
                <w:b w:val="0"/>
                <w:bCs w:val="0"/>
                <w:color w:val="000000"/>
                <w:kern w:val="2"/>
                <w:sz w:val="28"/>
                <w:szCs w:val="28"/>
                <w:lang w:val="en-US" w:eastAsia="zh-CN"/>
              </w:rPr>
            </w:pPr>
            <w:r>
              <w:rPr>
                <w:rFonts w:hint="eastAsia" w:ascii="黑体" w:hAnsi="黑体" w:eastAsia="黑体" w:cs="黑体"/>
                <w:b w:val="0"/>
                <w:bCs w:val="0"/>
                <w:color w:val="000000"/>
                <w:kern w:val="2"/>
                <w:sz w:val="28"/>
                <w:szCs w:val="28"/>
              </w:rPr>
              <w:t>2022年</w:t>
            </w:r>
          </w:p>
        </w:tc>
        <w:tc>
          <w:tcPr>
            <w:tcW w:w="126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default" w:ascii="楷体" w:hAnsi="楷体" w:eastAsia="楷体" w:cs="楷体"/>
                <w:b w:val="0"/>
                <w:bCs w:val="0"/>
                <w:color w:val="000000"/>
                <w:kern w:val="2"/>
                <w:sz w:val="28"/>
                <w:szCs w:val="28"/>
                <w:lang w:val="en-US" w:eastAsia="zh-CN"/>
              </w:rPr>
            </w:pPr>
            <w:r>
              <w:rPr>
                <w:rFonts w:hint="eastAsia" w:ascii="黑体" w:hAnsi="黑体" w:eastAsia="黑体" w:cs="黑体"/>
                <w:b w:val="0"/>
                <w:bCs w:val="0"/>
                <w:color w:val="000000"/>
                <w:kern w:val="2"/>
                <w:sz w:val="28"/>
                <w:szCs w:val="28"/>
              </w:rPr>
              <w:t>2025年</w:t>
            </w:r>
          </w:p>
        </w:tc>
        <w:tc>
          <w:tcPr>
            <w:tcW w:w="1266"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default" w:ascii="楷体" w:hAnsi="楷体" w:eastAsia="楷体" w:cs="楷体"/>
                <w:b w:val="0"/>
                <w:bCs w:val="0"/>
                <w:color w:val="000000"/>
                <w:kern w:val="2"/>
                <w:sz w:val="28"/>
                <w:szCs w:val="28"/>
                <w:lang w:val="en-US" w:eastAsia="zh-CN"/>
              </w:rPr>
            </w:pPr>
            <w:r>
              <w:rPr>
                <w:rFonts w:hint="eastAsia" w:ascii="黑体" w:hAnsi="黑体" w:eastAsia="黑体" w:cs="黑体"/>
                <w:b w:val="0"/>
                <w:bCs w:val="0"/>
                <w:color w:val="000000"/>
                <w:kern w:val="2"/>
                <w:sz w:val="28"/>
                <w:szCs w:val="28"/>
              </w:rPr>
              <w:t>2030年</w:t>
            </w:r>
          </w:p>
        </w:tc>
      </w:tr>
      <w:tr>
        <w:tblPrEx>
          <w:tblLayout w:type="fixed"/>
          <w:tblCellMar>
            <w:top w:w="0" w:type="dxa"/>
            <w:left w:w="28" w:type="dxa"/>
            <w:bottom w:w="0" w:type="dxa"/>
            <w:right w:w="28" w:type="dxa"/>
          </w:tblCellMar>
        </w:tblPrEx>
        <w:trPr>
          <w:trHeight w:val="567" w:hRule="exact"/>
          <w:jc w:val="center"/>
        </w:trPr>
        <w:tc>
          <w:tcPr>
            <w:tcW w:w="8901" w:type="dxa"/>
            <w:gridSpan w:val="5"/>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方正仿宋_GBK" w:hAnsi="方正仿宋_GBK" w:eastAsia="方正仿宋_GBK" w:cs="方正仿宋_GBK"/>
                <w:b w:val="0"/>
                <w:bCs w:val="0"/>
                <w:color w:val="000000"/>
                <w:kern w:val="2"/>
                <w:sz w:val="28"/>
                <w:szCs w:val="28"/>
              </w:rPr>
            </w:pPr>
            <w:bookmarkStart w:id="28" w:name="_Hlk140888610"/>
            <w:r>
              <w:rPr>
                <w:rFonts w:hint="eastAsia" w:ascii="楷体" w:hAnsi="楷体" w:eastAsia="楷体" w:cs="楷体"/>
                <w:b w:val="0"/>
                <w:bCs w:val="0"/>
                <w:color w:val="000000"/>
                <w:kern w:val="2"/>
                <w:sz w:val="28"/>
                <w:szCs w:val="28"/>
              </w:rPr>
              <w:t>五</w:t>
            </w:r>
            <w:r>
              <w:rPr>
                <w:rFonts w:hint="eastAsia" w:ascii="楷体" w:hAnsi="楷体" w:eastAsia="楷体" w:cs="楷体"/>
                <w:b w:val="0"/>
                <w:bCs w:val="0"/>
                <w:color w:val="000000"/>
                <w:kern w:val="2"/>
                <w:sz w:val="28"/>
                <w:szCs w:val="28"/>
                <w:lang w:eastAsia="zh-CN"/>
              </w:rPr>
              <w:t>、</w:t>
            </w:r>
            <w:r>
              <w:rPr>
                <w:rFonts w:hint="eastAsia" w:ascii="楷体" w:hAnsi="楷体" w:eastAsia="楷体" w:cs="楷体"/>
                <w:b w:val="0"/>
                <w:bCs w:val="0"/>
                <w:color w:val="000000"/>
                <w:kern w:val="2"/>
                <w:sz w:val="28"/>
                <w:szCs w:val="28"/>
              </w:rPr>
              <w:t>灵活调节能力</w:t>
            </w:r>
          </w:p>
        </w:tc>
      </w:tr>
      <w:tr>
        <w:tblPrEx>
          <w:tblLayout w:type="fixed"/>
          <w:tblCellMar>
            <w:top w:w="0" w:type="dxa"/>
            <w:left w:w="28" w:type="dxa"/>
            <w:bottom w:w="0" w:type="dxa"/>
            <w:right w:w="28" w:type="dxa"/>
          </w:tblCellMar>
        </w:tblPrEx>
        <w:trPr>
          <w:trHeight w:val="567"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5.1</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光热发电（万千瓦）</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10</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30</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100</w:t>
            </w:r>
          </w:p>
        </w:tc>
      </w:tr>
      <w:tr>
        <w:tblPrEx>
          <w:tblLayout w:type="fixed"/>
          <w:tblCellMar>
            <w:top w:w="0" w:type="dxa"/>
            <w:left w:w="28" w:type="dxa"/>
            <w:bottom w:w="0" w:type="dxa"/>
            <w:right w:w="28" w:type="dxa"/>
          </w:tblCellMar>
        </w:tblPrEx>
        <w:trPr>
          <w:trHeight w:val="567"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5.2</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抽水蓄能（万千瓦）</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120</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120</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800</w:t>
            </w:r>
          </w:p>
        </w:tc>
      </w:tr>
      <w:tr>
        <w:tblPrEx>
          <w:tblLayout w:type="fixed"/>
          <w:tblCellMar>
            <w:top w:w="0" w:type="dxa"/>
            <w:left w:w="28" w:type="dxa"/>
            <w:bottom w:w="0" w:type="dxa"/>
            <w:right w:w="28" w:type="dxa"/>
          </w:tblCellMar>
        </w:tblPrEx>
        <w:trPr>
          <w:trHeight w:val="567"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5.3</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新型储能（万千瓦）</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59</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1000</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2000</w:t>
            </w:r>
          </w:p>
        </w:tc>
      </w:tr>
      <w:bookmarkEnd w:id="28"/>
      <w:tr>
        <w:tblPrEx>
          <w:tblLayout w:type="fixed"/>
          <w:tblCellMar>
            <w:top w:w="0" w:type="dxa"/>
            <w:left w:w="28" w:type="dxa"/>
            <w:bottom w:w="0" w:type="dxa"/>
            <w:right w:w="28" w:type="dxa"/>
          </w:tblCellMar>
        </w:tblPrEx>
        <w:trPr>
          <w:trHeight w:val="567" w:hRule="exact"/>
          <w:jc w:val="center"/>
        </w:trPr>
        <w:tc>
          <w:tcPr>
            <w:tcW w:w="8901" w:type="dxa"/>
            <w:gridSpan w:val="5"/>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方正仿宋_GBK" w:hAnsi="方正仿宋_GBK" w:eastAsia="方正仿宋_GBK" w:cs="方正仿宋_GBK"/>
                <w:b w:val="0"/>
                <w:bCs w:val="0"/>
                <w:color w:val="000000"/>
                <w:kern w:val="2"/>
                <w:sz w:val="28"/>
                <w:szCs w:val="28"/>
              </w:rPr>
            </w:pPr>
            <w:r>
              <w:rPr>
                <w:rFonts w:hint="eastAsia" w:ascii="楷体" w:hAnsi="楷体" w:eastAsia="楷体" w:cs="楷体"/>
                <w:b w:val="0"/>
                <w:bCs w:val="0"/>
                <w:color w:val="000000"/>
                <w:kern w:val="2"/>
                <w:sz w:val="28"/>
                <w:szCs w:val="28"/>
              </w:rPr>
              <w:t>六</w:t>
            </w:r>
            <w:r>
              <w:rPr>
                <w:rFonts w:hint="eastAsia" w:ascii="楷体" w:hAnsi="楷体" w:eastAsia="楷体" w:cs="楷体"/>
                <w:b w:val="0"/>
                <w:bCs w:val="0"/>
                <w:color w:val="000000"/>
                <w:kern w:val="2"/>
                <w:sz w:val="28"/>
                <w:szCs w:val="28"/>
                <w:lang w:eastAsia="zh-CN"/>
              </w:rPr>
              <w:t>、</w:t>
            </w:r>
            <w:r>
              <w:rPr>
                <w:rFonts w:hint="eastAsia" w:ascii="楷体" w:hAnsi="楷体" w:eastAsia="楷体" w:cs="楷体"/>
                <w:b w:val="0"/>
                <w:bCs w:val="0"/>
                <w:color w:val="000000"/>
                <w:kern w:val="2"/>
                <w:sz w:val="28"/>
                <w:szCs w:val="28"/>
              </w:rPr>
              <w:t>贡献经济效益</w:t>
            </w:r>
          </w:p>
        </w:tc>
      </w:tr>
      <w:tr>
        <w:tblPrEx>
          <w:tblLayout w:type="fixed"/>
          <w:tblCellMar>
            <w:top w:w="0" w:type="dxa"/>
            <w:left w:w="28" w:type="dxa"/>
            <w:bottom w:w="0" w:type="dxa"/>
            <w:right w:w="28" w:type="dxa"/>
          </w:tblCellMar>
        </w:tblPrEx>
        <w:trPr>
          <w:trHeight w:val="567" w:hRule="exact"/>
          <w:jc w:val="center"/>
        </w:trPr>
        <w:tc>
          <w:tcPr>
            <w:tcW w:w="80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6.1</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新能源及相关产业投资（亿元）</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5000</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9500</w:t>
            </w:r>
          </w:p>
        </w:tc>
        <w:tc>
          <w:tcPr>
            <w:tcW w:w="126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15000</w:t>
            </w:r>
          </w:p>
        </w:tc>
      </w:tr>
      <w:tr>
        <w:tblPrEx>
          <w:tblLayout w:type="fixed"/>
          <w:tblCellMar>
            <w:top w:w="0" w:type="dxa"/>
            <w:left w:w="28" w:type="dxa"/>
            <w:bottom w:w="0" w:type="dxa"/>
            <w:right w:w="28" w:type="dxa"/>
          </w:tblCellMar>
        </w:tblPrEx>
        <w:trPr>
          <w:trHeight w:val="567" w:hRule="exact"/>
          <w:jc w:val="center"/>
        </w:trPr>
        <w:tc>
          <w:tcPr>
            <w:tcW w:w="807"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6.2</w:t>
            </w:r>
          </w:p>
        </w:tc>
        <w:tc>
          <w:tcPr>
            <w:tcW w:w="4296"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新能源产业对GDP贡献率</w:t>
            </w:r>
          </w:p>
        </w:tc>
        <w:tc>
          <w:tcPr>
            <w:tcW w:w="1266"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7%</w:t>
            </w:r>
          </w:p>
        </w:tc>
        <w:tc>
          <w:tcPr>
            <w:tcW w:w="1266"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10%</w:t>
            </w:r>
          </w:p>
        </w:tc>
        <w:tc>
          <w:tcPr>
            <w:tcW w:w="1266"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napToGrid w:val="0"/>
              <w:spacing w:line="240" w:lineRule="auto"/>
              <w:ind w:left="0" w:leftChars="0"/>
              <w:jc w:val="center"/>
              <w:textAlignment w:val="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15%</w:t>
            </w:r>
          </w:p>
        </w:tc>
      </w:tr>
      <w:bookmarkEnd w:id="27"/>
    </w:tbl>
    <w:p>
      <w:pPr>
        <w:pStyle w:val="17"/>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黑体" w:hAnsi="黑体" w:eastAsia="黑体" w:cs="黑体"/>
          <w:b w:val="0"/>
          <w:bCs w:val="0"/>
          <w:sz w:val="32"/>
          <w:szCs w:val="32"/>
        </w:rPr>
      </w:pPr>
      <w:bookmarkStart w:id="29" w:name="_Toc141285129"/>
      <w:bookmarkStart w:id="30" w:name="_Toc141021682"/>
      <w:bookmarkStart w:id="31" w:name="_Toc141020743"/>
      <w:bookmarkStart w:id="32" w:name="_Toc141021658"/>
      <w:r>
        <w:rPr>
          <w:rFonts w:hint="eastAsia" w:ascii="黑体" w:hAnsi="黑体" w:eastAsia="黑体" w:cs="黑体"/>
          <w:b w:val="0"/>
          <w:bCs w:val="0"/>
          <w:sz w:val="32"/>
          <w:szCs w:val="32"/>
        </w:rPr>
        <w:t>三、重点</w:t>
      </w:r>
      <w:bookmarkEnd w:id="29"/>
      <w:bookmarkEnd w:id="30"/>
      <w:bookmarkEnd w:id="31"/>
      <w:bookmarkEnd w:id="32"/>
      <w:r>
        <w:rPr>
          <w:rFonts w:hint="eastAsia" w:ascii="黑体" w:hAnsi="黑体" w:eastAsia="黑体" w:cs="黑体"/>
          <w:b w:val="0"/>
          <w:bCs w:val="0"/>
          <w:sz w:val="32"/>
          <w:szCs w:val="32"/>
        </w:rPr>
        <w:t>举措</w:t>
      </w:r>
    </w:p>
    <w:p>
      <w:pPr>
        <w:pStyle w:val="18"/>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 w:hAnsi="仿宋" w:eastAsia="仿宋" w:cs="仿宋"/>
          <w:b w:val="0"/>
          <w:bCs w:val="0"/>
          <w:sz w:val="32"/>
          <w:szCs w:val="32"/>
        </w:rPr>
      </w:pPr>
      <w:bookmarkStart w:id="33" w:name="_Toc141285130"/>
      <w:bookmarkStart w:id="34" w:name="_Toc141021659"/>
      <w:bookmarkStart w:id="35" w:name="_Toc141021683"/>
      <w:bookmarkStart w:id="36" w:name="_Toc141020744"/>
      <w:r>
        <w:rPr>
          <w:rFonts w:hint="eastAsia" w:ascii="楷体" w:hAnsi="楷体" w:eastAsia="楷体" w:cs="楷体"/>
          <w:b w:val="0"/>
          <w:bCs w:val="0"/>
          <w:sz w:val="32"/>
          <w:szCs w:val="32"/>
        </w:rPr>
        <w:t>（一）推动待建在建项目尽早并网</w:t>
      </w:r>
      <w:bookmarkEnd w:id="33"/>
      <w:bookmarkEnd w:id="34"/>
      <w:bookmarkEnd w:id="35"/>
      <w:bookmarkEnd w:id="36"/>
      <w:r>
        <w:rPr>
          <w:rFonts w:hint="eastAsia" w:ascii="楷体" w:hAnsi="楷体" w:eastAsia="楷体" w:cs="楷体"/>
          <w:b w:val="0"/>
          <w:bCs w:val="0"/>
          <w:sz w:val="32"/>
          <w:szCs w:val="32"/>
          <w:lang w:eastAsia="zh-CN"/>
        </w:rPr>
        <w:t>。</w:t>
      </w:r>
      <w:bookmarkStart w:id="37" w:name="_Toc141021684"/>
      <w:bookmarkStart w:id="38" w:name="_Toc141285131"/>
      <w:bookmarkStart w:id="39" w:name="_Toc141020745"/>
      <w:bookmarkStart w:id="40" w:name="_Toc141021660"/>
      <w:r>
        <w:rPr>
          <w:rFonts w:hint="eastAsia" w:ascii="仿宋" w:hAnsi="仿宋" w:eastAsia="仿宋" w:cs="仿宋"/>
          <w:b w:val="0"/>
          <w:bCs w:val="0"/>
          <w:sz w:val="32"/>
          <w:szCs w:val="32"/>
        </w:rPr>
        <w:t>锚定新能源规模倍增目标，全面推进约2亿千瓦在建待建新能源尽早并网，重点包括国家百万千瓦级基地项目第一、二、三批5488万千瓦，乌兰布和、库布其、腾格里沙漠等</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个千万千瓦级大型风电光伏基地项目共4800万千瓦，保障性新能源项目3525万千瓦，市场化并网新能源项目4900万千瓦。精简规范各类手续和流程，提升审批效率、缩短审批周期，统一土地性质认定，明确林草等不同地类用地标准，避免出现部门交叉认定、互为前置等问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加强</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rPr>
        <w:t>调度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协调解决项目前期手续办理问题，推动新能源项目和接网工程同步纳规，加快在建待建新能源及配套工程建设速度。</w:t>
      </w:r>
    </w:p>
    <w:p>
      <w:pPr>
        <w:pStyle w:val="18"/>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 w:hAnsi="仿宋" w:eastAsia="仿宋" w:cs="仿宋"/>
          <w:b w:val="0"/>
          <w:bCs w:val="0"/>
          <w:sz w:val="32"/>
          <w:szCs w:val="32"/>
        </w:rPr>
      </w:pPr>
    </w:p>
    <w:tbl>
      <w:tblPr>
        <w:tblStyle w:val="10"/>
        <w:tblW w:w="8767" w:type="dxa"/>
        <w:jc w:val="center"/>
        <w:tblInd w:w="-181" w:type="dxa"/>
        <w:tblLayout w:type="fixed"/>
        <w:tblCellMar>
          <w:top w:w="0" w:type="dxa"/>
          <w:left w:w="0" w:type="dxa"/>
          <w:bottom w:w="0" w:type="dxa"/>
          <w:right w:w="0" w:type="dxa"/>
        </w:tblCellMar>
      </w:tblPr>
      <w:tblGrid>
        <w:gridCol w:w="8767"/>
      </w:tblGrid>
      <w:tr>
        <w:tblPrEx>
          <w:tblLayout w:type="fixed"/>
          <w:tblCellMar>
            <w:top w:w="0" w:type="dxa"/>
            <w:left w:w="0" w:type="dxa"/>
            <w:bottom w:w="0" w:type="dxa"/>
            <w:right w:w="0" w:type="dxa"/>
          </w:tblCellMar>
        </w:tblPrEx>
        <w:trPr>
          <w:trHeight w:val="567" w:hRule="atLeast"/>
          <w:jc w:val="center"/>
        </w:trPr>
        <w:tc>
          <w:tcPr>
            <w:tcW w:w="8767" w:type="dxa"/>
            <w:tcBorders>
              <w:top w:val="single" w:color="000000" w:sz="8" w:space="0"/>
              <w:left w:val="single" w:color="000000" w:sz="8" w:space="0"/>
              <w:bottom w:val="single" w:color="000000" w:sz="4" w:space="0"/>
              <w:right w:val="single" w:color="000000" w:sz="8" w:space="0"/>
            </w:tcBorders>
            <w:noWrap/>
            <w:tcMar>
              <w:top w:w="15" w:type="dxa"/>
              <w:left w:w="15" w:type="dxa"/>
              <w:right w:w="15" w:type="dxa"/>
            </w:tcMar>
            <w:vAlign w:val="top"/>
          </w:tcPr>
          <w:p>
            <w:pPr>
              <w:keepNext w:val="0"/>
              <w:keepLines w:val="0"/>
              <w:pageBreakBefore w:val="0"/>
              <w:kinsoku/>
              <w:wordWrap/>
              <w:overflowPunct/>
              <w:topLinePunct w:val="0"/>
              <w:bidi w:val="0"/>
              <w:spacing w:line="240" w:lineRule="auto"/>
              <w:ind w:left="0" w:leftChars="0"/>
              <w:jc w:val="center"/>
              <w:textAlignment w:val="auto"/>
              <w:rPr>
                <w:rFonts w:hint="eastAsia" w:ascii="方正仿宋_GBK" w:hAnsi="方正仿宋_GBK" w:eastAsia="方正仿宋_GBK" w:cs="方正仿宋_GBK"/>
                <w:b w:val="0"/>
                <w:bCs w:val="0"/>
                <w:sz w:val="28"/>
                <w:szCs w:val="28"/>
              </w:rPr>
            </w:pPr>
            <w:r>
              <w:rPr>
                <w:rFonts w:hint="eastAsia" w:ascii="黑体" w:hAnsi="黑体" w:eastAsia="黑体" w:cs="黑体"/>
                <w:b w:val="0"/>
                <w:bCs w:val="0"/>
                <w:sz w:val="32"/>
                <w:szCs w:val="32"/>
              </w:rPr>
              <w:t>专栏1</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推动在建待建项目尽快并网</w:t>
            </w:r>
          </w:p>
        </w:tc>
      </w:tr>
      <w:tr>
        <w:tblPrEx>
          <w:tblLayout w:type="fixed"/>
          <w:tblCellMar>
            <w:top w:w="0" w:type="dxa"/>
            <w:left w:w="0" w:type="dxa"/>
            <w:bottom w:w="0" w:type="dxa"/>
            <w:right w:w="0" w:type="dxa"/>
          </w:tblCellMar>
        </w:tblPrEx>
        <w:trPr>
          <w:trHeight w:val="1365" w:hRule="atLeast"/>
          <w:jc w:val="center"/>
        </w:trPr>
        <w:tc>
          <w:tcPr>
            <w:tcW w:w="8767" w:type="dxa"/>
            <w:tcBorders>
              <w:top w:val="single" w:color="000000" w:sz="4"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28"/>
                <w:szCs w:val="28"/>
                <w:lang w:val="en-US" w:eastAsia="zh-CN"/>
              </w:rPr>
              <w:t xml:space="preserve">   1.</w:t>
            </w:r>
            <w:r>
              <w:rPr>
                <w:rFonts w:hint="eastAsia" w:ascii="仿宋" w:hAnsi="仿宋" w:eastAsia="仿宋" w:cs="仿宋"/>
                <w:b w:val="0"/>
                <w:bCs w:val="0"/>
                <w:sz w:val="28"/>
                <w:szCs w:val="28"/>
              </w:rPr>
              <w:t>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二</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三批沙戈荒基地及四大沙漠基地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共10288万千瓦，力争2023年底并网2120万千瓦，</w:t>
            </w:r>
            <w:r>
              <w:rPr>
                <w:rFonts w:hint="eastAsia" w:ascii="仿宋" w:hAnsi="仿宋" w:eastAsia="仿宋" w:cs="仿宋"/>
                <w:b w:val="0"/>
                <w:bCs w:val="0"/>
                <w:spacing w:val="6"/>
                <w:sz w:val="28"/>
                <w:szCs w:val="28"/>
              </w:rPr>
              <w:t>2024年并网1500万千瓦以上，力争2025</w:t>
            </w:r>
            <w:r>
              <w:rPr>
                <w:rFonts w:hint="eastAsia" w:ascii="仿宋" w:hAnsi="仿宋" w:eastAsia="仿宋" w:cs="仿宋"/>
                <w:b w:val="0"/>
                <w:bCs w:val="0"/>
                <w:sz w:val="28"/>
                <w:szCs w:val="28"/>
              </w:rPr>
              <w:t>年并网3000万千瓦以上，剩余规模力争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十五五</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中期建成并网。</w:t>
            </w:r>
          </w:p>
        </w:tc>
      </w:tr>
      <w:tr>
        <w:tblPrEx>
          <w:tblLayout w:type="fixed"/>
          <w:tblCellMar>
            <w:top w:w="0" w:type="dxa"/>
            <w:left w:w="0" w:type="dxa"/>
            <w:bottom w:w="0" w:type="dxa"/>
            <w:right w:w="0" w:type="dxa"/>
          </w:tblCellMar>
        </w:tblPrEx>
        <w:trPr>
          <w:trHeight w:val="2265" w:hRule="atLeast"/>
          <w:jc w:val="center"/>
        </w:trPr>
        <w:tc>
          <w:tcPr>
            <w:tcW w:w="8767"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保障性消纳项目</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在建保障性项目1385万千瓦，计划2023年底并网1200万千瓦以上，其余规模2024年底前全部并网。已批复指标待建的保障性项目1890万千瓦，预计2025年底前建成。</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3.</w:t>
            </w:r>
            <w:r>
              <w:rPr>
                <w:rFonts w:hint="eastAsia" w:ascii="仿宋" w:hAnsi="仿宋" w:eastAsia="仿宋" w:cs="仿宋"/>
                <w:b w:val="0"/>
                <w:bCs w:val="0"/>
                <w:sz w:val="28"/>
                <w:szCs w:val="28"/>
              </w:rPr>
              <w:t>市场化并网项目</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计划2023年底并网100万千瓦，2025年底前并网1500万千瓦以上。</w:t>
            </w:r>
          </w:p>
        </w:tc>
      </w:tr>
    </w:tbl>
    <w:p>
      <w:pPr>
        <w:pStyle w:val="18"/>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（二）科学有序谋划保障性项目</w:t>
      </w:r>
      <w:bookmarkEnd w:id="37"/>
      <w:bookmarkEnd w:id="38"/>
      <w:bookmarkEnd w:id="39"/>
      <w:bookmarkEnd w:id="40"/>
      <w:r>
        <w:rPr>
          <w:rFonts w:hint="eastAsia" w:ascii="楷体" w:hAnsi="楷体" w:eastAsia="楷体" w:cs="楷体"/>
          <w:b w:val="0"/>
          <w:bCs w:val="0"/>
          <w:sz w:val="32"/>
          <w:szCs w:val="32"/>
          <w:lang w:eastAsia="zh-CN"/>
        </w:rPr>
        <w:t>。</w:t>
      </w:r>
      <w:bookmarkStart w:id="41" w:name="_Toc141021685"/>
      <w:bookmarkStart w:id="42" w:name="_Toc141285132"/>
      <w:bookmarkStart w:id="43" w:name="_Toc141020746"/>
      <w:bookmarkStart w:id="44" w:name="_Toc141021661"/>
      <w:r>
        <w:rPr>
          <w:rFonts w:hint="eastAsia" w:ascii="仿宋" w:hAnsi="仿宋" w:eastAsia="仿宋" w:cs="仿宋"/>
          <w:b w:val="0"/>
          <w:bCs w:val="0"/>
          <w:sz w:val="32"/>
          <w:szCs w:val="32"/>
        </w:rPr>
        <w:t>以沙漠、戈壁、荒漠地区为重点，在库布其、乌兰布和、腾格里沙漠等地区，鄂尔多斯等采煤沉陷区，科尔沁和浑善达克沙地布局一批百万千瓦级新能源基地，科学有序谋划新一批保障性新能源项目，到2025年谋划保障性新能源项目规模3000万千瓦以上。</w:t>
      </w:r>
    </w:p>
    <w:tbl>
      <w:tblPr>
        <w:tblStyle w:val="10"/>
        <w:tblW w:w="8830" w:type="dxa"/>
        <w:jc w:val="center"/>
        <w:tblInd w:w="0" w:type="dxa"/>
        <w:tblLayout w:type="fixed"/>
        <w:tblCellMar>
          <w:top w:w="0" w:type="dxa"/>
          <w:left w:w="0" w:type="dxa"/>
          <w:bottom w:w="0" w:type="dxa"/>
          <w:right w:w="0" w:type="dxa"/>
        </w:tblCellMar>
      </w:tblPr>
      <w:tblGrid>
        <w:gridCol w:w="8830"/>
      </w:tblGrid>
      <w:tr>
        <w:tblPrEx>
          <w:tblLayout w:type="fixed"/>
          <w:tblCellMar>
            <w:top w:w="0" w:type="dxa"/>
            <w:left w:w="0" w:type="dxa"/>
            <w:bottom w:w="0" w:type="dxa"/>
            <w:right w:w="0" w:type="dxa"/>
          </w:tblCellMar>
        </w:tblPrEx>
        <w:trPr>
          <w:trHeight w:val="567" w:hRule="atLeast"/>
          <w:jc w:val="center"/>
        </w:trPr>
        <w:tc>
          <w:tcPr>
            <w:tcW w:w="8830" w:type="dxa"/>
            <w:tcBorders>
              <w:top w:val="single" w:color="000000" w:sz="8" w:space="0"/>
              <w:left w:val="single" w:color="000000" w:sz="8"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textAlignment w:val="auto"/>
              <w:rPr>
                <w:rFonts w:hint="eastAsia" w:ascii="方正仿宋_GBK" w:hAnsi="方正仿宋_GBK" w:eastAsia="方正仿宋_GBK" w:cs="方正仿宋_GBK"/>
                <w:b w:val="0"/>
                <w:bCs w:val="0"/>
                <w:sz w:val="28"/>
                <w:szCs w:val="28"/>
              </w:rPr>
            </w:pPr>
            <w:r>
              <w:rPr>
                <w:rFonts w:hint="eastAsia" w:ascii="黑体" w:hAnsi="黑体" w:eastAsia="黑体" w:cs="黑体"/>
                <w:b w:val="0"/>
                <w:bCs w:val="0"/>
                <w:sz w:val="32"/>
                <w:szCs w:val="32"/>
              </w:rPr>
              <w:t xml:space="preserve">专栏2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谋划保障性项目</w:t>
            </w:r>
          </w:p>
        </w:tc>
      </w:tr>
      <w:tr>
        <w:tblPrEx>
          <w:tblLayout w:type="fixed"/>
          <w:tblCellMar>
            <w:top w:w="0" w:type="dxa"/>
            <w:left w:w="0" w:type="dxa"/>
            <w:bottom w:w="0" w:type="dxa"/>
            <w:right w:w="0" w:type="dxa"/>
          </w:tblCellMar>
        </w:tblPrEx>
        <w:trPr>
          <w:trHeight w:val="1900" w:hRule="atLeast"/>
          <w:jc w:val="center"/>
        </w:trPr>
        <w:tc>
          <w:tcPr>
            <w:tcW w:w="8830" w:type="dxa"/>
            <w:tcBorders>
              <w:top w:val="single" w:color="000000" w:sz="4"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方正仿宋_GBK" w:hAnsi="方正仿宋_GBK" w:eastAsia="方正仿宋_GBK" w:cs="方正仿宋_GBK"/>
                <w:b w:val="0"/>
                <w:bCs w:val="0"/>
                <w:sz w:val="28"/>
                <w:szCs w:val="28"/>
              </w:rPr>
            </w:pPr>
            <w:r>
              <w:rPr>
                <w:rFonts w:hint="eastAsia" w:ascii="仿宋" w:hAnsi="仿宋" w:eastAsia="仿宋" w:cs="仿宋"/>
                <w:b w:val="0"/>
                <w:bCs w:val="0"/>
                <w:sz w:val="28"/>
                <w:szCs w:val="28"/>
              </w:rPr>
              <w:t>利用资源优势区域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在风光资源优异、接入条件良好的区域，围绕黄河几字弯国家清洁能源基地布局1500万千瓦新能源、松辽布局国家清洁能源基地800万千瓦新能源、冀北布局国家清洁能源基地700万千瓦新能源。</w:t>
            </w:r>
          </w:p>
        </w:tc>
      </w:tr>
    </w:tbl>
    <w:p>
      <w:pPr>
        <w:pStyle w:val="18"/>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方正仿宋_GBK" w:hAnsi="方正仿宋_GBK" w:eastAsia="方正仿宋_GBK" w:cs="方正仿宋_GBK"/>
          <w:b w:val="0"/>
          <w:bCs w:val="0"/>
          <w:sz w:val="32"/>
          <w:szCs w:val="32"/>
        </w:rPr>
      </w:pPr>
      <w:r>
        <w:rPr>
          <w:rFonts w:hint="eastAsia" w:ascii="楷体" w:hAnsi="楷体" w:eastAsia="楷体" w:cs="楷体"/>
          <w:b w:val="0"/>
          <w:bCs w:val="0"/>
          <w:sz w:val="32"/>
          <w:szCs w:val="32"/>
        </w:rPr>
        <w:t>（三）优先支持市场化项目开发</w:t>
      </w:r>
      <w:bookmarkEnd w:id="41"/>
      <w:bookmarkEnd w:id="42"/>
      <w:bookmarkEnd w:id="43"/>
      <w:bookmarkEnd w:id="44"/>
      <w:r>
        <w:rPr>
          <w:rFonts w:hint="eastAsia" w:ascii="楷体" w:hAnsi="楷体" w:eastAsia="楷体" w:cs="楷体"/>
          <w:b w:val="0"/>
          <w:bCs w:val="0"/>
          <w:sz w:val="32"/>
          <w:szCs w:val="32"/>
          <w:lang w:eastAsia="zh-CN"/>
        </w:rPr>
        <w:t>。</w:t>
      </w:r>
      <w:r>
        <w:rPr>
          <w:rFonts w:hint="eastAsia" w:ascii="仿宋" w:hAnsi="仿宋" w:eastAsia="仿宋" w:cs="仿宋"/>
          <w:b w:val="0"/>
          <w:bCs w:val="0"/>
          <w:spacing w:val="-6"/>
          <w:sz w:val="32"/>
          <w:szCs w:val="32"/>
        </w:rPr>
        <w:t>大力发展</w:t>
      </w:r>
      <w:r>
        <w:rPr>
          <w:rFonts w:hint="eastAsia" w:ascii="仿宋" w:hAnsi="仿宋" w:eastAsia="仿宋" w:cs="仿宋"/>
          <w:b w:val="0"/>
          <w:bCs w:val="0"/>
          <w:spacing w:val="0"/>
          <w:sz w:val="32"/>
          <w:szCs w:val="32"/>
        </w:rPr>
        <w:t>新能源制氢产业，</w:t>
      </w:r>
      <w:r>
        <w:rPr>
          <w:rFonts w:hint="eastAsia" w:ascii="仿宋" w:hAnsi="仿宋" w:eastAsia="仿宋" w:cs="仿宋"/>
          <w:b w:val="0"/>
          <w:bCs w:val="0"/>
          <w:sz w:val="32"/>
          <w:szCs w:val="32"/>
        </w:rPr>
        <w:t>充分利用自治区的氢能需求，增加绿氢应用场景，带动绿氢下游产业发展，扩大新能源消纳空间。进一步加大风光制氢项目建设力度，到2025年全区绿氢生产能力突破50万吨，绿氢产能在全国占比超过50%，初步确立</w:t>
      </w:r>
      <w:r>
        <w:rPr>
          <w:rFonts w:hint="eastAsia" w:ascii="仿宋" w:hAnsi="仿宋" w:eastAsia="仿宋" w:cs="仿宋"/>
          <w:b w:val="0"/>
          <w:bCs w:val="0"/>
          <w:sz w:val="32"/>
          <w:szCs w:val="32"/>
          <w:lang w:eastAsia="zh-CN"/>
        </w:rPr>
        <w:t>自治区</w:t>
      </w:r>
      <w:r>
        <w:rPr>
          <w:rFonts w:hint="eastAsia" w:ascii="仿宋" w:hAnsi="仿宋" w:eastAsia="仿宋" w:cs="仿宋"/>
          <w:b w:val="0"/>
          <w:bCs w:val="0"/>
          <w:sz w:val="32"/>
          <w:szCs w:val="32"/>
        </w:rPr>
        <w:t>绿氢生产全国领先地位。广泛拓展新能源应用场景，优先支持源网荷储一体化、火电灵活性改造、风光制氢一体化、燃煤自备电厂可再生能源替代、工业园区绿色供电、全额自发自用</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类市场化并网新能源项目建设，并积极探索新的市场化项目应用场景开发模式。到2025年，谋划市场化并网新能源项目容量3000万千瓦。加快零碳、低碳工业园区试点建设，依托自治区已批复的鄂尔多斯蒙苏经济开发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包头市达茂旗巴音花园区2个零碳示范园区，阿拉善高新技术产业园、鄂托克经济开发区、霍林郭勒高新技术产业开发区</w:t>
      </w:r>
      <w:r>
        <w:rPr>
          <w:rFonts w:hint="eastAsia" w:ascii="仿宋" w:hAnsi="仿宋" w:eastAsia="仿宋" w:cs="仿宋"/>
          <w:b w:val="0"/>
          <w:bCs w:val="0"/>
          <w:sz w:val="32"/>
          <w:szCs w:val="32"/>
          <w:lang w:eastAsia="zh-CN"/>
        </w:rPr>
        <w:t>、包头铝业产业园区</w:t>
      </w:r>
      <w:r>
        <w:rPr>
          <w:rFonts w:hint="eastAsia" w:ascii="仿宋" w:hAnsi="仿宋" w:eastAsia="仿宋" w:cs="仿宋"/>
          <w:b w:val="0"/>
          <w:bCs w:val="0"/>
          <w:sz w:val="32"/>
          <w:szCs w:val="32"/>
        </w:rPr>
        <w:t>等4个低碳园区试点，</w:t>
      </w:r>
      <w:r>
        <w:rPr>
          <w:rFonts w:hint="eastAsia" w:ascii="仿宋" w:hAnsi="仿宋" w:eastAsia="仿宋" w:cs="仿宋"/>
          <w:b w:val="0"/>
          <w:bCs w:val="0"/>
          <w:spacing w:val="11"/>
          <w:sz w:val="32"/>
          <w:szCs w:val="32"/>
        </w:rPr>
        <w:t>探索</w:t>
      </w:r>
      <w:r>
        <w:rPr>
          <w:rFonts w:hint="eastAsia" w:ascii="仿宋" w:hAnsi="仿宋" w:eastAsia="仿宋" w:cs="仿宋"/>
          <w:b w:val="0"/>
          <w:bCs w:val="0"/>
          <w:spacing w:val="11"/>
          <w:sz w:val="32"/>
          <w:szCs w:val="32"/>
          <w:lang w:eastAsia="zh-CN"/>
        </w:rPr>
        <w:t>“</w:t>
      </w:r>
      <w:r>
        <w:rPr>
          <w:rFonts w:hint="eastAsia" w:ascii="仿宋" w:hAnsi="仿宋" w:eastAsia="仿宋" w:cs="仿宋"/>
          <w:b w:val="0"/>
          <w:bCs w:val="0"/>
          <w:spacing w:val="11"/>
          <w:sz w:val="32"/>
          <w:szCs w:val="32"/>
        </w:rPr>
        <w:t>绿色供电+低碳经济</w:t>
      </w:r>
      <w:r>
        <w:rPr>
          <w:rFonts w:hint="eastAsia" w:ascii="仿宋" w:hAnsi="仿宋" w:eastAsia="仿宋" w:cs="仿宋"/>
          <w:b w:val="0"/>
          <w:bCs w:val="0"/>
          <w:spacing w:val="11"/>
          <w:sz w:val="32"/>
          <w:szCs w:val="32"/>
          <w:lang w:eastAsia="zh-CN"/>
        </w:rPr>
        <w:t>”</w:t>
      </w:r>
      <w:r>
        <w:rPr>
          <w:rFonts w:hint="eastAsia" w:ascii="仿宋" w:hAnsi="仿宋" w:eastAsia="仿宋" w:cs="仿宋"/>
          <w:b w:val="0"/>
          <w:bCs w:val="0"/>
          <w:sz w:val="32"/>
          <w:szCs w:val="32"/>
        </w:rPr>
        <w:t>的协同发展模式，统筹考虑新能源布局，按照总体规划、一次批复、分批实施的原则进行新能源配置，推进园区整体高端化、智能化、绿色化发展，</w:t>
      </w:r>
      <w:r>
        <w:rPr>
          <w:rFonts w:hint="eastAsia" w:ascii="仿宋" w:hAnsi="仿宋" w:eastAsia="仿宋" w:cs="仿宋"/>
          <w:b w:val="0"/>
          <w:bCs w:val="0"/>
          <w:spacing w:val="-6"/>
          <w:sz w:val="32"/>
          <w:szCs w:val="32"/>
        </w:rPr>
        <w:t>提高新能源消纳比例，实现工业绿色转型发展。</w:t>
      </w:r>
    </w:p>
    <w:tbl>
      <w:tblPr>
        <w:tblStyle w:val="10"/>
        <w:tblW w:w="8699" w:type="dxa"/>
        <w:jc w:val="center"/>
        <w:tblInd w:w="0" w:type="dxa"/>
        <w:tblLayout w:type="fixed"/>
        <w:tblCellMar>
          <w:top w:w="0" w:type="dxa"/>
          <w:left w:w="0" w:type="dxa"/>
          <w:bottom w:w="0" w:type="dxa"/>
          <w:right w:w="0" w:type="dxa"/>
        </w:tblCellMar>
      </w:tblPr>
      <w:tblGrid>
        <w:gridCol w:w="8699"/>
      </w:tblGrid>
      <w:tr>
        <w:tblPrEx>
          <w:tblLayout w:type="fixed"/>
          <w:tblCellMar>
            <w:top w:w="0" w:type="dxa"/>
            <w:left w:w="0" w:type="dxa"/>
            <w:bottom w:w="0" w:type="dxa"/>
            <w:right w:w="0" w:type="dxa"/>
          </w:tblCellMar>
        </w:tblPrEx>
        <w:trPr>
          <w:trHeight w:val="567" w:hRule="atLeast"/>
          <w:jc w:val="center"/>
        </w:trPr>
        <w:tc>
          <w:tcPr>
            <w:tcW w:w="8699" w:type="dxa"/>
            <w:tcBorders>
              <w:top w:val="single" w:color="000000" w:sz="8" w:space="0"/>
              <w:left w:val="single" w:color="000000" w:sz="8"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textAlignment w:val="auto"/>
              <w:rPr>
                <w:rFonts w:hint="eastAsia" w:ascii="方正仿宋_GBK" w:hAnsi="方正仿宋_GBK" w:eastAsia="方正仿宋_GBK" w:cs="方正仿宋_GBK"/>
                <w:b w:val="0"/>
                <w:bCs w:val="0"/>
                <w:sz w:val="28"/>
                <w:szCs w:val="28"/>
              </w:rPr>
            </w:pPr>
            <w:r>
              <w:rPr>
                <w:rFonts w:hint="eastAsia" w:ascii="黑体" w:hAnsi="黑体" w:eastAsia="黑体" w:cs="黑体"/>
                <w:b w:val="0"/>
                <w:bCs w:val="0"/>
                <w:sz w:val="32"/>
                <w:szCs w:val="32"/>
              </w:rPr>
              <w:t>专栏3</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推进市场化并网新能源项目开展</w:t>
            </w:r>
          </w:p>
        </w:tc>
      </w:tr>
      <w:tr>
        <w:tblPrEx>
          <w:tblLayout w:type="fixed"/>
          <w:tblCellMar>
            <w:top w:w="0" w:type="dxa"/>
            <w:left w:w="0" w:type="dxa"/>
            <w:bottom w:w="0" w:type="dxa"/>
            <w:right w:w="0" w:type="dxa"/>
          </w:tblCellMar>
        </w:tblPrEx>
        <w:trPr>
          <w:trHeight w:val="2325" w:hRule="atLeast"/>
          <w:jc w:val="center"/>
        </w:trPr>
        <w:tc>
          <w:tcPr>
            <w:tcW w:w="8699" w:type="dxa"/>
            <w:tcBorders>
              <w:top w:val="single" w:color="000000" w:sz="4"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谋划市场化并网新能源项目</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在呼和浩特</w:t>
            </w:r>
            <w:r>
              <w:rPr>
                <w:rFonts w:hint="eastAsia" w:ascii="仿宋" w:hAnsi="仿宋" w:eastAsia="仿宋" w:cs="仿宋"/>
                <w:b w:val="0"/>
                <w:bCs w:val="0"/>
                <w:sz w:val="28"/>
                <w:szCs w:val="28"/>
                <w:lang w:eastAsia="zh-CN"/>
              </w:rPr>
              <w:t>市</w:t>
            </w:r>
            <w:r>
              <w:rPr>
                <w:rFonts w:hint="eastAsia" w:ascii="仿宋" w:hAnsi="仿宋" w:eastAsia="仿宋" w:cs="仿宋"/>
                <w:b w:val="0"/>
                <w:bCs w:val="0"/>
                <w:sz w:val="28"/>
                <w:szCs w:val="28"/>
              </w:rPr>
              <w:t>、包头</w:t>
            </w:r>
            <w:r>
              <w:rPr>
                <w:rFonts w:hint="eastAsia" w:ascii="仿宋" w:hAnsi="仿宋" w:eastAsia="仿宋" w:cs="仿宋"/>
                <w:b w:val="0"/>
                <w:bCs w:val="0"/>
                <w:sz w:val="28"/>
                <w:szCs w:val="28"/>
                <w:lang w:eastAsia="zh-CN"/>
              </w:rPr>
              <w:t>市</w:t>
            </w:r>
            <w:r>
              <w:rPr>
                <w:rFonts w:hint="eastAsia" w:ascii="仿宋" w:hAnsi="仿宋" w:eastAsia="仿宋" w:cs="仿宋"/>
                <w:b w:val="0"/>
                <w:bCs w:val="0"/>
                <w:sz w:val="28"/>
                <w:szCs w:val="28"/>
              </w:rPr>
              <w:t>、通辽</w:t>
            </w:r>
            <w:r>
              <w:rPr>
                <w:rFonts w:hint="eastAsia" w:ascii="仿宋" w:hAnsi="仿宋" w:eastAsia="仿宋" w:cs="仿宋"/>
                <w:b w:val="0"/>
                <w:bCs w:val="0"/>
                <w:sz w:val="28"/>
                <w:szCs w:val="28"/>
                <w:lang w:eastAsia="zh-CN"/>
              </w:rPr>
              <w:t>市</w:t>
            </w:r>
            <w:r>
              <w:rPr>
                <w:rFonts w:hint="eastAsia" w:ascii="仿宋" w:hAnsi="仿宋" w:eastAsia="仿宋" w:cs="仿宋"/>
                <w:b w:val="0"/>
                <w:bCs w:val="0"/>
                <w:sz w:val="28"/>
                <w:szCs w:val="28"/>
              </w:rPr>
              <w:t>、赤峰</w:t>
            </w:r>
            <w:r>
              <w:rPr>
                <w:rFonts w:hint="eastAsia" w:ascii="仿宋" w:hAnsi="仿宋" w:eastAsia="仿宋" w:cs="仿宋"/>
                <w:b w:val="0"/>
                <w:bCs w:val="0"/>
                <w:sz w:val="28"/>
                <w:szCs w:val="28"/>
                <w:lang w:eastAsia="zh-CN"/>
              </w:rPr>
              <w:t>市</w:t>
            </w:r>
            <w:r>
              <w:rPr>
                <w:rFonts w:hint="eastAsia" w:ascii="仿宋" w:hAnsi="仿宋" w:eastAsia="仿宋" w:cs="仿宋"/>
                <w:b w:val="0"/>
                <w:bCs w:val="0"/>
                <w:sz w:val="28"/>
                <w:szCs w:val="28"/>
              </w:rPr>
              <w:t>、乌兰察布</w:t>
            </w:r>
            <w:r>
              <w:rPr>
                <w:rFonts w:hint="eastAsia" w:ascii="仿宋" w:hAnsi="仿宋" w:eastAsia="仿宋" w:cs="仿宋"/>
                <w:b w:val="0"/>
                <w:bCs w:val="0"/>
                <w:sz w:val="28"/>
                <w:szCs w:val="28"/>
                <w:lang w:eastAsia="zh-CN"/>
              </w:rPr>
              <w:t>市</w:t>
            </w:r>
            <w:r>
              <w:rPr>
                <w:rFonts w:hint="eastAsia" w:ascii="仿宋" w:hAnsi="仿宋" w:eastAsia="仿宋" w:cs="仿宋"/>
                <w:b w:val="0"/>
                <w:bCs w:val="0"/>
                <w:sz w:val="28"/>
                <w:szCs w:val="28"/>
              </w:rPr>
              <w:t>、鄂尔多斯</w:t>
            </w:r>
            <w:r>
              <w:rPr>
                <w:rFonts w:hint="eastAsia" w:ascii="仿宋" w:hAnsi="仿宋" w:eastAsia="仿宋" w:cs="仿宋"/>
                <w:b w:val="0"/>
                <w:bCs w:val="0"/>
                <w:sz w:val="28"/>
                <w:szCs w:val="28"/>
                <w:lang w:eastAsia="zh-CN"/>
              </w:rPr>
              <w:t>市</w:t>
            </w:r>
            <w:r>
              <w:rPr>
                <w:rFonts w:hint="eastAsia" w:ascii="仿宋" w:hAnsi="仿宋" w:eastAsia="仿宋" w:cs="仿宋"/>
                <w:b w:val="0"/>
                <w:bCs w:val="0"/>
                <w:sz w:val="28"/>
                <w:szCs w:val="28"/>
              </w:rPr>
              <w:t>等负荷相对集中的区域，谋划市场化并网新能源项目。谋划新增风光制氢项目1500万千瓦、园区绿色供电项目300万千瓦、源网荷储一体化项目600万千瓦、全额自发自用项目100万千瓦、火电灵活性改造项目300万千瓦、</w:t>
            </w:r>
            <w:r>
              <w:rPr>
                <w:rFonts w:hint="eastAsia" w:ascii="仿宋" w:hAnsi="仿宋" w:eastAsia="仿宋" w:cs="仿宋"/>
                <w:b w:val="0"/>
                <w:bCs w:val="0"/>
                <w:spacing w:val="-11"/>
                <w:sz w:val="28"/>
                <w:szCs w:val="28"/>
              </w:rPr>
              <w:t>燃煤自备电厂项目200万千瓦。</w:t>
            </w:r>
          </w:p>
        </w:tc>
      </w:tr>
    </w:tbl>
    <w:p>
      <w:pPr>
        <w:pStyle w:val="18"/>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 w:hAnsi="仿宋" w:eastAsia="仿宋" w:cs="仿宋"/>
          <w:b w:val="0"/>
          <w:bCs w:val="0"/>
          <w:sz w:val="32"/>
          <w:szCs w:val="32"/>
        </w:rPr>
      </w:pPr>
      <w:bookmarkStart w:id="45" w:name="_Toc141021662"/>
      <w:bookmarkStart w:id="46" w:name="_Toc141020747"/>
      <w:bookmarkStart w:id="47" w:name="_Toc141285133"/>
      <w:bookmarkStart w:id="48" w:name="_Toc141021686"/>
      <w:r>
        <w:rPr>
          <w:rFonts w:hint="eastAsia" w:ascii="楷体" w:hAnsi="楷体" w:eastAsia="楷体" w:cs="楷体"/>
          <w:b w:val="0"/>
          <w:bCs w:val="0"/>
          <w:sz w:val="32"/>
          <w:szCs w:val="32"/>
        </w:rPr>
        <w:t>（四）加速提升跨省跨区外送新能源规模</w:t>
      </w:r>
      <w:bookmarkEnd w:id="45"/>
      <w:bookmarkEnd w:id="46"/>
      <w:bookmarkEnd w:id="47"/>
      <w:bookmarkEnd w:id="48"/>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rPr>
        <w:t>充分发挥自治区新能源资源优势和区位优势，按照谋划一批、投产一批、开工一批的发展思路，有序推动国家级新能源电力供应保障基地及配套外送通道建设，助力全国碳达峰碳中和。加快推动已批复新能源外送基地投产运行，加快推动锡</w:t>
      </w:r>
      <w:r>
        <w:rPr>
          <w:rFonts w:hint="eastAsia" w:ascii="仿宋" w:hAnsi="仿宋" w:eastAsia="仿宋" w:cs="仿宋"/>
          <w:b w:val="0"/>
          <w:bCs w:val="0"/>
          <w:sz w:val="32"/>
          <w:szCs w:val="32"/>
          <w:lang w:eastAsia="zh-CN"/>
        </w:rPr>
        <w:t>林郭勒</w:t>
      </w:r>
      <w:r>
        <w:rPr>
          <w:rFonts w:hint="eastAsia" w:ascii="仿宋" w:hAnsi="仿宋" w:eastAsia="仿宋" w:cs="仿宋"/>
          <w:b w:val="0"/>
          <w:bCs w:val="0"/>
          <w:sz w:val="32"/>
          <w:szCs w:val="32"/>
        </w:rPr>
        <w:t>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一交一直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上海庙至山东、蒙西至天津南交流特高压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扎鲁特至青州特高压输电通道配套新能源基地、乌兰察布风电基地等已批复新能源基地建设进度，大幅提高存量外送输电通道中新能源占比和通道利用效率。积极谋划新建蒙西地区新能源外送通道，推动库布其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上海、腾格里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江西、乌兰布和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京津冀3条特高压外送通道尽早开工，蒙西</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京津冀尽早建成投产，继续推动锡</w:t>
      </w:r>
      <w:r>
        <w:rPr>
          <w:rFonts w:hint="eastAsia" w:ascii="仿宋" w:hAnsi="仿宋" w:eastAsia="仿宋" w:cs="仿宋"/>
          <w:b w:val="0"/>
          <w:bCs w:val="0"/>
          <w:sz w:val="32"/>
          <w:szCs w:val="32"/>
          <w:lang w:eastAsia="zh-CN"/>
        </w:rPr>
        <w:t>林郭勒</w:t>
      </w:r>
      <w:r>
        <w:rPr>
          <w:rFonts w:hint="eastAsia" w:ascii="仿宋" w:hAnsi="仿宋" w:eastAsia="仿宋" w:cs="仿宋"/>
          <w:b w:val="0"/>
          <w:bCs w:val="0"/>
          <w:sz w:val="32"/>
          <w:szCs w:val="32"/>
        </w:rPr>
        <w:t>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绿电进京</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或外送新能源基地及输电通道尽早纳规。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十五五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期间，在四大沙漠及周边地区新谋划2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4条外送通道。统筹自治区内风光资源、用电负荷分布，积极推动区内跨盟市合作，谋划阿拉善</w:t>
      </w:r>
      <w:r>
        <w:rPr>
          <w:rFonts w:hint="eastAsia" w:ascii="仿宋" w:hAnsi="仿宋" w:eastAsia="仿宋" w:cs="仿宋"/>
          <w:b w:val="0"/>
          <w:bCs w:val="0"/>
          <w:sz w:val="32"/>
          <w:szCs w:val="32"/>
          <w:lang w:eastAsia="zh-CN"/>
        </w:rPr>
        <w:t>盟</w:t>
      </w:r>
      <w:r>
        <w:rPr>
          <w:rFonts w:hint="eastAsia" w:ascii="仿宋" w:hAnsi="仿宋" w:eastAsia="仿宋" w:cs="仿宋"/>
          <w:b w:val="0"/>
          <w:bCs w:val="0"/>
          <w:sz w:val="32"/>
          <w:szCs w:val="32"/>
        </w:rPr>
        <w:t>至中东部盟市区内新能源自用基地、阿拉善</w:t>
      </w:r>
      <w:r>
        <w:rPr>
          <w:rFonts w:hint="eastAsia" w:ascii="仿宋" w:hAnsi="仿宋" w:eastAsia="仿宋" w:cs="仿宋"/>
          <w:b w:val="0"/>
          <w:bCs w:val="0"/>
          <w:sz w:val="32"/>
          <w:szCs w:val="32"/>
          <w:lang w:eastAsia="zh-CN"/>
        </w:rPr>
        <w:t>盟</w:t>
      </w:r>
      <w:r>
        <w:rPr>
          <w:rFonts w:hint="eastAsia" w:ascii="仿宋" w:hAnsi="仿宋" w:eastAsia="仿宋" w:cs="仿宋"/>
          <w:b w:val="0"/>
          <w:bCs w:val="0"/>
          <w:sz w:val="32"/>
          <w:szCs w:val="32"/>
        </w:rPr>
        <w:t>与乌海市区域能源合作等项目及配套外送通道。</w:t>
      </w:r>
    </w:p>
    <w:tbl>
      <w:tblPr>
        <w:tblStyle w:val="10"/>
        <w:tblW w:w="8870" w:type="dxa"/>
        <w:jc w:val="center"/>
        <w:tblInd w:w="0" w:type="dxa"/>
        <w:tblLayout w:type="fixed"/>
        <w:tblCellMar>
          <w:top w:w="0" w:type="dxa"/>
          <w:left w:w="0" w:type="dxa"/>
          <w:bottom w:w="0" w:type="dxa"/>
          <w:right w:w="0" w:type="dxa"/>
        </w:tblCellMar>
      </w:tblPr>
      <w:tblGrid>
        <w:gridCol w:w="8870"/>
      </w:tblGrid>
      <w:tr>
        <w:tblPrEx>
          <w:tblLayout w:type="fixed"/>
          <w:tblCellMar>
            <w:top w:w="0" w:type="dxa"/>
            <w:left w:w="0" w:type="dxa"/>
            <w:bottom w:w="0" w:type="dxa"/>
            <w:right w:w="0" w:type="dxa"/>
          </w:tblCellMar>
        </w:tblPrEx>
        <w:trPr>
          <w:trHeight w:val="567" w:hRule="atLeast"/>
          <w:jc w:val="center"/>
        </w:trPr>
        <w:tc>
          <w:tcPr>
            <w:tcW w:w="8870" w:type="dxa"/>
            <w:tcBorders>
              <w:top w:val="single" w:color="000000" w:sz="8" w:space="0"/>
              <w:left w:val="single" w:color="000000" w:sz="8"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32"/>
                <w:szCs w:val="32"/>
              </w:rPr>
              <w:t xml:space="preserve">专栏4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加快新建通道进度</w:t>
            </w:r>
          </w:p>
        </w:tc>
      </w:tr>
      <w:tr>
        <w:tblPrEx>
          <w:tblLayout w:type="fixed"/>
          <w:tblCellMar>
            <w:top w:w="0" w:type="dxa"/>
            <w:left w:w="0" w:type="dxa"/>
            <w:bottom w:w="0" w:type="dxa"/>
            <w:right w:w="0" w:type="dxa"/>
          </w:tblCellMar>
        </w:tblPrEx>
        <w:trPr>
          <w:trHeight w:val="2196" w:hRule="atLeast"/>
          <w:jc w:val="center"/>
        </w:trPr>
        <w:tc>
          <w:tcPr>
            <w:tcW w:w="8870" w:type="dxa"/>
            <w:tcBorders>
              <w:top w:val="single" w:color="000000" w:sz="4"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推动开工</w:t>
            </w:r>
            <w:r>
              <w:rPr>
                <w:rFonts w:hint="eastAsia" w:ascii="仿宋" w:hAnsi="仿宋" w:eastAsia="仿宋" w:cs="仿宋"/>
                <w:b w:val="0"/>
                <w:bCs w:val="0"/>
                <w:sz w:val="28"/>
                <w:szCs w:val="28"/>
                <w:lang w:eastAsia="zh-CN"/>
              </w:rPr>
              <w:t>。</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十四五</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期间</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推动库布其</w:t>
            </w:r>
            <w:r>
              <w:rPr>
                <w:rFonts w:hint="eastAsia" w:ascii="仿宋" w:hAnsi="仿宋" w:eastAsia="仿宋" w:cs="仿宋"/>
                <w:b w:val="0"/>
                <w:bCs w:val="0"/>
                <w:sz w:val="28"/>
                <w:szCs w:val="28"/>
                <w:lang w:eastAsia="zh-CN"/>
              </w:rPr>
              <w:t>—</w:t>
            </w:r>
            <w:r>
              <w:rPr>
                <w:rFonts w:hint="eastAsia" w:ascii="仿宋" w:hAnsi="仿宋" w:eastAsia="仿宋" w:cs="仿宋"/>
                <w:b w:val="0"/>
                <w:bCs w:val="0"/>
                <w:color w:val="000000"/>
                <w:sz w:val="28"/>
                <w:szCs w:val="28"/>
              </w:rPr>
              <w:t>上海、腾格里</w:t>
            </w:r>
            <w:r>
              <w:rPr>
                <w:rFonts w:hint="eastAsia" w:ascii="仿宋" w:hAnsi="仿宋" w:eastAsia="仿宋" w:cs="仿宋"/>
                <w:b w:val="0"/>
                <w:bCs w:val="0"/>
                <w:sz w:val="28"/>
                <w:szCs w:val="28"/>
                <w:lang w:eastAsia="zh-CN"/>
              </w:rPr>
              <w:t>—</w:t>
            </w:r>
            <w:r>
              <w:rPr>
                <w:rFonts w:hint="eastAsia" w:ascii="仿宋" w:hAnsi="仿宋" w:eastAsia="仿宋" w:cs="仿宋"/>
                <w:b w:val="0"/>
                <w:bCs w:val="0"/>
                <w:color w:val="000000"/>
                <w:sz w:val="28"/>
                <w:szCs w:val="28"/>
              </w:rPr>
              <w:t>江西、乌兰布和</w:t>
            </w:r>
            <w:r>
              <w:rPr>
                <w:rFonts w:hint="eastAsia" w:ascii="仿宋" w:hAnsi="仿宋" w:eastAsia="仿宋" w:cs="仿宋"/>
                <w:b w:val="0"/>
                <w:bCs w:val="0"/>
                <w:sz w:val="28"/>
                <w:szCs w:val="28"/>
                <w:lang w:eastAsia="zh-CN"/>
              </w:rPr>
              <w:t>—</w:t>
            </w:r>
            <w:r>
              <w:rPr>
                <w:rFonts w:hint="eastAsia" w:ascii="仿宋" w:hAnsi="仿宋" w:eastAsia="仿宋" w:cs="仿宋"/>
                <w:b w:val="0"/>
                <w:bCs w:val="0"/>
                <w:color w:val="000000"/>
                <w:sz w:val="28"/>
                <w:szCs w:val="28"/>
              </w:rPr>
              <w:t>京津冀、锡</w:t>
            </w:r>
            <w:r>
              <w:rPr>
                <w:rFonts w:hint="eastAsia" w:ascii="仿宋" w:hAnsi="仿宋" w:eastAsia="仿宋" w:cs="仿宋"/>
                <w:b w:val="0"/>
                <w:bCs w:val="0"/>
                <w:color w:val="000000"/>
                <w:sz w:val="28"/>
                <w:szCs w:val="28"/>
                <w:lang w:eastAsia="zh-CN"/>
              </w:rPr>
              <w:t>林郭勒</w:t>
            </w:r>
            <w:r>
              <w:rPr>
                <w:rFonts w:hint="eastAsia" w:ascii="仿宋" w:hAnsi="仿宋" w:eastAsia="仿宋" w:cs="仿宋"/>
                <w:b w:val="0"/>
                <w:bCs w:val="0"/>
                <w:color w:val="000000"/>
                <w:sz w:val="28"/>
                <w:szCs w:val="28"/>
              </w:rPr>
              <w:t>盟</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绿电进京</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4条输电通道尽快开工</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2.</w:t>
            </w:r>
            <w:r>
              <w:rPr>
                <w:rFonts w:hint="eastAsia" w:ascii="仿宋" w:hAnsi="仿宋" w:eastAsia="仿宋" w:cs="仿宋"/>
                <w:b w:val="0"/>
                <w:bCs w:val="0"/>
                <w:sz w:val="28"/>
                <w:szCs w:val="28"/>
              </w:rPr>
              <w:t>推动投产</w:t>
            </w:r>
            <w:r>
              <w:rPr>
                <w:rFonts w:hint="eastAsia" w:ascii="仿宋" w:hAnsi="仿宋" w:eastAsia="仿宋" w:cs="仿宋"/>
                <w:b w:val="0"/>
                <w:bCs w:val="0"/>
                <w:sz w:val="28"/>
                <w:szCs w:val="28"/>
                <w:lang w:eastAsia="zh-CN"/>
              </w:rPr>
              <w:t>。</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十四五</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期间</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推动蒙西</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京津冀外送通道尽快投产。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方正仿宋_GBK" w:hAnsi="方正仿宋_GBK" w:eastAsia="方正仿宋_GBK" w:cs="方正仿宋_GBK"/>
                <w:b w:val="0"/>
                <w:bCs w:val="0"/>
                <w:color w:val="000000"/>
                <w:spacing w:val="11"/>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推动纳规</w:t>
            </w:r>
            <w:r>
              <w:rPr>
                <w:rFonts w:hint="eastAsia" w:ascii="仿宋" w:hAnsi="仿宋" w:eastAsia="仿宋" w:cs="仿宋"/>
                <w:b w:val="0"/>
                <w:bCs w:val="0"/>
                <w:sz w:val="28"/>
                <w:szCs w:val="28"/>
                <w:lang w:eastAsia="zh-CN"/>
              </w:rPr>
              <w:t>。</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十五五</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期间</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推动库布其沙漠、乌兰布和沙漠、腾格里沙漠、巴丹吉林沙漠新建2</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4条新能源基地外送通道。</w:t>
            </w:r>
          </w:p>
        </w:tc>
      </w:tr>
    </w:tbl>
    <w:p>
      <w:pPr>
        <w:pStyle w:val="18"/>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（五）全面推动新能源区域合作</w:t>
      </w:r>
      <w:r>
        <w:rPr>
          <w:rFonts w:hint="eastAsia" w:ascii="楷体" w:hAnsi="楷体" w:eastAsia="楷体" w:cs="楷体"/>
          <w:b w:val="0"/>
          <w:bCs w:val="0"/>
          <w:sz w:val="32"/>
          <w:szCs w:val="32"/>
          <w:lang w:eastAsia="zh-CN"/>
        </w:rPr>
        <w:t>。</w:t>
      </w:r>
      <w:r>
        <w:rPr>
          <w:rFonts w:hint="eastAsia" w:ascii="仿宋" w:hAnsi="仿宋" w:eastAsia="仿宋" w:cs="仿宋"/>
          <w:b w:val="0"/>
          <w:bCs w:val="0"/>
          <w:spacing w:val="-6"/>
          <w:sz w:val="32"/>
          <w:szCs w:val="32"/>
        </w:rPr>
        <w:t>增加自治区与周边省</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区</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新能源合作规模，推动阿拉善</w:t>
      </w:r>
      <w:r>
        <w:rPr>
          <w:rFonts w:hint="eastAsia" w:ascii="仿宋" w:hAnsi="仿宋" w:eastAsia="仿宋" w:cs="仿宋"/>
          <w:b w:val="0"/>
          <w:bCs w:val="0"/>
          <w:sz w:val="32"/>
          <w:szCs w:val="32"/>
          <w:lang w:eastAsia="zh-CN"/>
        </w:rPr>
        <w:t>盟</w:t>
      </w:r>
      <w:r>
        <w:rPr>
          <w:rFonts w:hint="eastAsia" w:ascii="仿宋" w:hAnsi="仿宋" w:eastAsia="仿宋" w:cs="仿宋"/>
          <w:b w:val="0"/>
          <w:bCs w:val="0"/>
          <w:sz w:val="32"/>
          <w:szCs w:val="32"/>
        </w:rPr>
        <w:t>与宁夏</w:t>
      </w:r>
      <w:r>
        <w:rPr>
          <w:rFonts w:hint="eastAsia" w:ascii="仿宋" w:hAnsi="仿宋" w:eastAsia="仿宋" w:cs="仿宋"/>
          <w:b w:val="0"/>
          <w:bCs w:val="0"/>
          <w:sz w:val="32"/>
          <w:szCs w:val="32"/>
          <w:lang w:eastAsia="zh-CN"/>
        </w:rPr>
        <w:t>回族自治区</w:t>
      </w:r>
      <w:r>
        <w:rPr>
          <w:rFonts w:hint="eastAsia" w:ascii="仿宋" w:hAnsi="仿宋" w:eastAsia="仿宋" w:cs="仿宋"/>
          <w:b w:val="0"/>
          <w:bCs w:val="0"/>
          <w:sz w:val="32"/>
          <w:szCs w:val="32"/>
        </w:rPr>
        <w:t>新能源合作，结合阿拉善</w:t>
      </w:r>
      <w:r>
        <w:rPr>
          <w:rFonts w:hint="eastAsia" w:ascii="仿宋" w:hAnsi="仿宋" w:eastAsia="仿宋" w:cs="仿宋"/>
          <w:b w:val="0"/>
          <w:bCs w:val="0"/>
          <w:sz w:val="32"/>
          <w:szCs w:val="32"/>
          <w:lang w:eastAsia="zh-CN"/>
        </w:rPr>
        <w:t>盟</w:t>
      </w:r>
      <w:r>
        <w:rPr>
          <w:rFonts w:hint="eastAsia" w:ascii="仿宋" w:hAnsi="仿宋" w:eastAsia="仿宋" w:cs="仿宋"/>
          <w:b w:val="0"/>
          <w:bCs w:val="0"/>
          <w:sz w:val="32"/>
          <w:szCs w:val="32"/>
        </w:rPr>
        <w:t>新能源和土地资源丰富、本地用电需求占比低的特点，开展阿拉善</w:t>
      </w:r>
      <w:r>
        <w:rPr>
          <w:rFonts w:hint="eastAsia" w:ascii="仿宋" w:hAnsi="仿宋" w:eastAsia="仿宋" w:cs="仿宋"/>
          <w:b w:val="0"/>
          <w:bCs w:val="0"/>
          <w:sz w:val="32"/>
          <w:szCs w:val="32"/>
          <w:lang w:eastAsia="zh-CN"/>
        </w:rPr>
        <w:t>盟</w:t>
      </w:r>
      <w:r>
        <w:rPr>
          <w:rFonts w:hint="eastAsia" w:ascii="仿宋" w:hAnsi="仿宋" w:eastAsia="仿宋" w:cs="仿宋"/>
          <w:b w:val="0"/>
          <w:bCs w:val="0"/>
          <w:sz w:val="32"/>
          <w:szCs w:val="32"/>
        </w:rPr>
        <w:t>与宁夏</w:t>
      </w:r>
      <w:r>
        <w:rPr>
          <w:rFonts w:hint="eastAsia" w:ascii="仿宋" w:hAnsi="仿宋" w:eastAsia="仿宋" w:cs="仿宋"/>
          <w:b w:val="0"/>
          <w:bCs w:val="0"/>
          <w:sz w:val="32"/>
          <w:szCs w:val="32"/>
          <w:lang w:eastAsia="zh-CN"/>
        </w:rPr>
        <w:t>回族自治区</w:t>
      </w:r>
      <w:r>
        <w:rPr>
          <w:rFonts w:hint="eastAsia" w:ascii="仿宋" w:hAnsi="仿宋" w:eastAsia="仿宋" w:cs="仿宋"/>
          <w:b w:val="0"/>
          <w:bCs w:val="0"/>
          <w:sz w:val="32"/>
          <w:szCs w:val="32"/>
        </w:rPr>
        <w:t>石嘴山市、吴忠市、中卫市新能源合作；推动鄂尔多斯市与陕西</w:t>
      </w:r>
      <w:r>
        <w:rPr>
          <w:rFonts w:hint="eastAsia" w:ascii="仿宋" w:hAnsi="仿宋" w:eastAsia="仿宋" w:cs="仿宋"/>
          <w:b w:val="0"/>
          <w:bCs w:val="0"/>
          <w:sz w:val="32"/>
          <w:szCs w:val="32"/>
          <w:lang w:eastAsia="zh-CN"/>
        </w:rPr>
        <w:t>省</w:t>
      </w:r>
      <w:r>
        <w:rPr>
          <w:rFonts w:hint="eastAsia" w:ascii="仿宋" w:hAnsi="仿宋" w:eastAsia="仿宋" w:cs="仿宋"/>
          <w:b w:val="0"/>
          <w:bCs w:val="0"/>
          <w:spacing w:val="6"/>
          <w:sz w:val="32"/>
          <w:szCs w:val="32"/>
        </w:rPr>
        <w:t>榆林市新能源合作，</w:t>
      </w:r>
      <w:r>
        <w:rPr>
          <w:rFonts w:hint="eastAsia" w:ascii="仿宋" w:hAnsi="仿宋" w:eastAsia="仿宋" w:cs="仿宋"/>
          <w:b w:val="0"/>
          <w:bCs w:val="0"/>
          <w:sz w:val="32"/>
          <w:szCs w:val="32"/>
        </w:rPr>
        <w:t>充分发挥鄂尔多斯市新能源经济技术可开发量优势，兼顾区内消纳和区外送电，</w:t>
      </w:r>
      <w:r>
        <w:rPr>
          <w:rFonts w:hint="eastAsia" w:ascii="仿宋" w:hAnsi="仿宋" w:eastAsia="仿宋" w:cs="仿宋"/>
          <w:b w:val="0"/>
          <w:bCs w:val="0"/>
          <w:spacing w:val="6"/>
          <w:sz w:val="32"/>
          <w:szCs w:val="32"/>
        </w:rPr>
        <w:t>合理有序推进项目开发，对接榆林市用能需求，</w:t>
      </w:r>
      <w:r>
        <w:rPr>
          <w:rFonts w:hint="eastAsia" w:ascii="仿宋" w:hAnsi="仿宋" w:eastAsia="仿宋" w:cs="仿宋"/>
          <w:b w:val="0"/>
          <w:bCs w:val="0"/>
          <w:sz w:val="32"/>
          <w:szCs w:val="32"/>
        </w:rPr>
        <w:t>谋划区域新能源合作，推进区域产业绿色化，解决区域能耗指标限制问题。研究以绿氢为载体的新能源跨区域输送模式，充分发挥绿氢作为二次能源的特点，结合绿氢长时性储能属性，推动输氢管道规划布局，</w:t>
      </w:r>
      <w:r>
        <w:rPr>
          <w:rFonts w:hint="eastAsia" w:ascii="仿宋" w:hAnsi="仿宋" w:eastAsia="仿宋" w:cs="仿宋"/>
          <w:b w:val="0"/>
          <w:bCs w:val="0"/>
          <w:spacing w:val="6"/>
          <w:sz w:val="32"/>
          <w:szCs w:val="32"/>
        </w:rPr>
        <w:t>通过将绿氢运送至全国各地，变输电为输氢，</w:t>
      </w:r>
      <w:r>
        <w:rPr>
          <w:rFonts w:hint="eastAsia" w:ascii="仿宋" w:hAnsi="仿宋" w:eastAsia="仿宋" w:cs="仿宋"/>
          <w:b w:val="0"/>
          <w:bCs w:val="0"/>
          <w:sz w:val="32"/>
          <w:szCs w:val="32"/>
        </w:rPr>
        <w:t>以绿氢为载体实现新能源跨区域输送。开展区内跨盟市新能源合作，统筹区内新能源资源和用电负荷分布，围绕乌海及周边地区大气污染防治行动，开展乌海</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与阿拉善</w:t>
      </w:r>
      <w:r>
        <w:rPr>
          <w:rFonts w:hint="eastAsia" w:ascii="仿宋" w:hAnsi="仿宋" w:eastAsia="仿宋" w:cs="仿宋"/>
          <w:b w:val="0"/>
          <w:bCs w:val="0"/>
          <w:sz w:val="32"/>
          <w:szCs w:val="32"/>
          <w:lang w:eastAsia="zh-CN"/>
        </w:rPr>
        <w:t>盟</w:t>
      </w:r>
      <w:r>
        <w:rPr>
          <w:rFonts w:hint="eastAsia" w:ascii="仿宋" w:hAnsi="仿宋" w:eastAsia="仿宋" w:cs="仿宋"/>
          <w:b w:val="0"/>
          <w:bCs w:val="0"/>
          <w:sz w:val="32"/>
          <w:szCs w:val="32"/>
        </w:rPr>
        <w:t>区域合作；围绕包</w:t>
      </w:r>
      <w:r>
        <w:rPr>
          <w:rFonts w:hint="eastAsia" w:ascii="仿宋" w:hAnsi="仿宋" w:eastAsia="仿宋" w:cs="仿宋"/>
          <w:b w:val="0"/>
          <w:bCs w:val="0"/>
          <w:sz w:val="32"/>
          <w:szCs w:val="32"/>
          <w:lang w:eastAsia="zh-CN"/>
        </w:rPr>
        <w:t>头</w:t>
      </w:r>
      <w:r>
        <w:rPr>
          <w:rFonts w:hint="eastAsia" w:ascii="仿宋" w:hAnsi="仿宋" w:eastAsia="仿宋" w:cs="仿宋"/>
          <w:b w:val="0"/>
          <w:bCs w:val="0"/>
          <w:sz w:val="32"/>
          <w:szCs w:val="32"/>
        </w:rPr>
        <w:t>钢</w:t>
      </w:r>
      <w:r>
        <w:rPr>
          <w:rFonts w:hint="eastAsia" w:ascii="仿宋" w:hAnsi="仿宋" w:eastAsia="仿宋" w:cs="仿宋"/>
          <w:b w:val="0"/>
          <w:bCs w:val="0"/>
          <w:sz w:val="32"/>
          <w:szCs w:val="32"/>
          <w:lang w:eastAsia="zh-CN"/>
        </w:rPr>
        <w:t>铁（集团）公司</w:t>
      </w:r>
      <w:r>
        <w:rPr>
          <w:rFonts w:hint="eastAsia" w:ascii="仿宋" w:hAnsi="仿宋" w:eastAsia="仿宋" w:cs="仿宋"/>
          <w:b w:val="0"/>
          <w:bCs w:val="0"/>
          <w:sz w:val="32"/>
          <w:szCs w:val="32"/>
        </w:rPr>
        <w:t>转型升级工作，开展包头市与巴彦淖尔市区域合作；围绕支持呼和浩特市中环等新能源装备制造企业发展，开展呼和浩特市与乌兰察布市区域合作；围绕支持通辽霍林河电解铝产业发展，开展通辽市与兴安盟区域合作。</w:t>
      </w:r>
    </w:p>
    <w:p>
      <w:pPr>
        <w:pStyle w:val="18"/>
        <w:keepNext w:val="0"/>
        <w:keepLines w:val="0"/>
        <w:pageBreakBefore w:val="0"/>
        <w:widowControl w:val="0"/>
        <w:kinsoku/>
        <w:wordWrap/>
        <w:overflowPunct/>
        <w:topLinePunct/>
        <w:autoSpaceDE/>
        <w:autoSpaceDN/>
        <w:bidi w:val="0"/>
        <w:adjustRightInd w:val="0"/>
        <w:snapToGrid w:val="0"/>
        <w:spacing w:line="550" w:lineRule="exact"/>
        <w:textAlignment w:val="auto"/>
        <w:rPr>
          <w:rFonts w:hint="eastAsia" w:ascii="仿宋" w:hAnsi="仿宋" w:eastAsia="仿宋" w:cs="仿宋"/>
          <w:b w:val="0"/>
          <w:bCs w:val="0"/>
          <w:spacing w:val="6"/>
          <w:sz w:val="32"/>
          <w:szCs w:val="32"/>
        </w:rPr>
      </w:pPr>
      <w:bookmarkStart w:id="49" w:name="_Toc141021687"/>
      <w:bookmarkStart w:id="50" w:name="_Toc141020748"/>
      <w:bookmarkStart w:id="51" w:name="_Toc141021663"/>
      <w:bookmarkStart w:id="52" w:name="_Toc141285134"/>
      <w:r>
        <w:rPr>
          <w:rFonts w:hint="eastAsia" w:ascii="楷体" w:hAnsi="楷体" w:eastAsia="楷体" w:cs="楷体"/>
          <w:b w:val="0"/>
          <w:bCs w:val="0"/>
          <w:sz w:val="32"/>
          <w:szCs w:val="32"/>
        </w:rPr>
        <w:t>（六）着力提升电力系统调节能力</w:t>
      </w:r>
      <w:bookmarkEnd w:id="49"/>
      <w:bookmarkEnd w:id="50"/>
      <w:bookmarkEnd w:id="51"/>
      <w:bookmarkEnd w:id="52"/>
      <w:r>
        <w:rPr>
          <w:rFonts w:hint="eastAsia" w:ascii="楷体" w:hAnsi="楷体" w:eastAsia="楷体" w:cs="楷体"/>
          <w:b w:val="0"/>
          <w:bCs w:val="0"/>
          <w:sz w:val="32"/>
          <w:szCs w:val="32"/>
          <w:lang w:eastAsia="zh-CN"/>
        </w:rPr>
        <w:t>。</w:t>
      </w:r>
      <w:r>
        <w:rPr>
          <w:rFonts w:hint="eastAsia" w:ascii="仿宋" w:hAnsi="仿宋" w:eastAsia="仿宋" w:cs="仿宋"/>
          <w:b w:val="0"/>
          <w:bCs w:val="0"/>
          <w:spacing w:val="-6"/>
          <w:sz w:val="32"/>
          <w:szCs w:val="32"/>
        </w:rPr>
        <w:t>统筹各类调节资源建设，</w:t>
      </w:r>
      <w:r>
        <w:rPr>
          <w:rFonts w:hint="eastAsia" w:ascii="仿宋" w:hAnsi="仿宋" w:eastAsia="仿宋" w:cs="仿宋"/>
          <w:b w:val="0"/>
          <w:bCs w:val="0"/>
          <w:sz w:val="32"/>
          <w:szCs w:val="32"/>
        </w:rPr>
        <w:t>增强电力系统灵活性，改善新能源出力特性和负荷特性，加速构建绿色低碳、灵活可靠的新型电力系统。统筹优化电网主干网构架，提升电网对新能源资源配置能力，形成支撑有力、配置灵活、保障消纳的新能源送出主干网架。蒙东电网着力构建蒙东超高压平台型电网，统筹新建在建待建新能源电站、产业转移示范区重点项目、抽蓄电站及新建调节性支撑性火电机组送出需求等需要。蒙西电网加大电网建设力度，提升西电东送和南北互供能力，支撑特高压外送通道配套电源汇集高效送出，满足抽水蓄能电站接入需求，促进清洁能源消纳</w:t>
      </w:r>
      <w:r>
        <w:rPr>
          <w:rFonts w:hint="eastAsia" w:ascii="仿宋" w:hAnsi="仿宋" w:eastAsia="仿宋" w:cs="仿宋"/>
          <w:b w:val="0"/>
          <w:bCs w:val="0"/>
          <w:color w:val="auto"/>
          <w:sz w:val="32"/>
          <w:szCs w:val="32"/>
        </w:rPr>
        <w:t>。推进在建抽水蓄能项目进度，加速包头美岱抽水蓄能电站尽快开工；推</w:t>
      </w:r>
      <w:r>
        <w:rPr>
          <w:rFonts w:hint="eastAsia" w:ascii="仿宋" w:hAnsi="仿宋" w:eastAsia="仿宋" w:cs="仿宋"/>
          <w:b w:val="0"/>
          <w:bCs w:val="0"/>
          <w:sz w:val="32"/>
          <w:szCs w:val="32"/>
        </w:rPr>
        <w:t>进巴彦淖尔太阳沟、赤峰广兴源等抽水蓄能电站前期工作；加快赤峰芝瑞和乌海抽水蓄能电站建设，力争赤峰芝瑞抽水蓄能电站于2027年底前投产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乌海抽水蓄能电站于2028年底前投产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推动呼和浩特</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、兴安盟、通辽</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、锡林郭勒</w:t>
      </w:r>
      <w:r>
        <w:rPr>
          <w:rFonts w:hint="eastAsia" w:ascii="仿宋" w:hAnsi="仿宋" w:eastAsia="仿宋" w:cs="仿宋"/>
          <w:b w:val="0"/>
          <w:bCs w:val="0"/>
          <w:sz w:val="32"/>
          <w:szCs w:val="32"/>
          <w:lang w:eastAsia="zh-CN"/>
        </w:rPr>
        <w:t>盟</w:t>
      </w:r>
      <w:r>
        <w:rPr>
          <w:rFonts w:hint="eastAsia" w:ascii="仿宋" w:hAnsi="仿宋" w:eastAsia="仿宋" w:cs="仿宋"/>
          <w:b w:val="0"/>
          <w:bCs w:val="0"/>
          <w:sz w:val="32"/>
          <w:szCs w:val="32"/>
        </w:rPr>
        <w:t>、乌兰察布</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、巴彦淖尔</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等盟市约20个抽水蓄能电站项目尽快纳入国家规划。</w:t>
      </w:r>
      <w:r>
        <w:rPr>
          <w:rFonts w:hint="eastAsia" w:ascii="仿宋" w:hAnsi="仿宋" w:eastAsia="仿宋" w:cs="仿宋"/>
          <w:b w:val="0"/>
          <w:bCs w:val="0"/>
          <w:color w:val="auto"/>
          <w:sz w:val="32"/>
          <w:szCs w:val="32"/>
        </w:rPr>
        <w:t>全面推动新型储能市场化、产业化、规模化发展，提高</w:t>
      </w:r>
      <w:r>
        <w:rPr>
          <w:rFonts w:hint="eastAsia" w:ascii="仿宋" w:hAnsi="仿宋" w:eastAsia="仿宋" w:cs="仿宋"/>
          <w:b w:val="0"/>
          <w:bCs w:val="0"/>
          <w:sz w:val="32"/>
          <w:szCs w:val="32"/>
        </w:rPr>
        <w:t>电站整体调峰能力、调频深度和响应速率，增强供电可靠性。</w:t>
      </w:r>
      <w:r>
        <w:rPr>
          <w:rFonts w:hint="eastAsia" w:ascii="仿宋" w:hAnsi="仿宋" w:eastAsia="仿宋" w:cs="仿宋"/>
          <w:b w:val="0"/>
          <w:bCs w:val="0"/>
          <w:spacing w:val="6"/>
          <w:sz w:val="32"/>
          <w:szCs w:val="32"/>
        </w:rPr>
        <w:t>制定独立新型储能电站实施细则，</w:t>
      </w:r>
      <w:r>
        <w:rPr>
          <w:rFonts w:hint="eastAsia" w:ascii="仿宋" w:hAnsi="仿宋" w:eastAsia="仿宋" w:cs="仿宋"/>
          <w:b w:val="0"/>
          <w:bCs w:val="0"/>
          <w:sz w:val="32"/>
          <w:szCs w:val="32"/>
        </w:rPr>
        <w:t>在源、网、荷侧规划布局储能电站，推进新型储能试点示范，推动在电网关键节点和偏远地区建设独立储能电站，提升电力系统调节能力。力争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十四五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后三年每年完成新增新型储能并网300万千瓦。推动太阳能光热发电示范，结合沙漠、戈壁、荒漠地区新能源基地建设规划光热布局，统筹新能源项目布局或预留光热项目场址，推动光热发电示范，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十四五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期间力争完成新增光热发电并网装机规模20万千瓦。加快火电灵活性改造进度，发挥火电支撑能力，</w:t>
      </w:r>
      <w:r>
        <w:rPr>
          <w:rFonts w:hint="eastAsia" w:ascii="仿宋" w:hAnsi="仿宋" w:eastAsia="仿宋" w:cs="仿宋"/>
          <w:b w:val="0"/>
          <w:bCs w:val="0"/>
          <w:spacing w:val="6"/>
          <w:sz w:val="32"/>
          <w:szCs w:val="32"/>
        </w:rPr>
        <w:t>推动存量火电机组有序实施火电灵活性改造，</w:t>
      </w:r>
      <w:r>
        <w:rPr>
          <w:rFonts w:hint="eastAsia" w:ascii="仿宋" w:hAnsi="仿宋" w:eastAsia="仿宋" w:cs="仿宋"/>
          <w:b w:val="0"/>
          <w:bCs w:val="0"/>
          <w:sz w:val="32"/>
          <w:szCs w:val="32"/>
        </w:rPr>
        <w:t>进一步提升系统灵活性和调节能力，力争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十四五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期间累计完成火电灵活</w:t>
      </w:r>
      <w:r>
        <w:rPr>
          <w:rFonts w:hint="eastAsia" w:ascii="仿宋" w:hAnsi="仿宋" w:eastAsia="仿宋" w:cs="仿宋"/>
          <w:b w:val="0"/>
          <w:bCs w:val="0"/>
          <w:spacing w:val="11"/>
          <w:sz w:val="32"/>
          <w:szCs w:val="32"/>
        </w:rPr>
        <w:t>性改造3000万千瓦。推动热电解耦释放调峰能力，</w:t>
      </w:r>
      <w:r>
        <w:rPr>
          <w:rFonts w:hint="eastAsia" w:ascii="仿宋" w:hAnsi="仿宋" w:eastAsia="仿宋" w:cs="仿宋"/>
          <w:b w:val="0"/>
          <w:bCs w:val="0"/>
          <w:sz w:val="32"/>
          <w:szCs w:val="32"/>
        </w:rPr>
        <w:t>鼓励公用热电联产机组采取电储能蓄热锅炉等先进技术路线开展热电解耦，在确保民生供热和工业供汽需求的前提下，进一步增加调峰能力。研究开展清洁能源供暖试点，降低火电厂热供给压力，</w:t>
      </w:r>
      <w:r>
        <w:rPr>
          <w:rFonts w:hint="eastAsia" w:ascii="仿宋" w:hAnsi="仿宋" w:eastAsia="仿宋" w:cs="仿宋"/>
          <w:b w:val="0"/>
          <w:bCs w:val="0"/>
          <w:spacing w:val="6"/>
          <w:sz w:val="32"/>
          <w:szCs w:val="32"/>
        </w:rPr>
        <w:t>提高火电厂参与调峰能力，进一步增加新能源消纳空间。</w:t>
      </w:r>
    </w:p>
    <w:p>
      <w:pPr>
        <w:pStyle w:val="18"/>
        <w:keepNext w:val="0"/>
        <w:keepLines w:val="0"/>
        <w:pageBreakBefore w:val="0"/>
        <w:widowControl w:val="0"/>
        <w:kinsoku/>
        <w:wordWrap/>
        <w:overflowPunct/>
        <w:topLinePunct/>
        <w:autoSpaceDE/>
        <w:autoSpaceDN/>
        <w:bidi w:val="0"/>
        <w:adjustRightInd w:val="0"/>
        <w:snapToGrid w:val="0"/>
        <w:spacing w:line="550" w:lineRule="exact"/>
        <w:textAlignment w:val="auto"/>
        <w:rPr>
          <w:rFonts w:hint="eastAsia" w:ascii="仿宋" w:hAnsi="仿宋" w:eastAsia="仿宋" w:cs="仿宋"/>
          <w:b w:val="0"/>
          <w:bCs w:val="0"/>
          <w:spacing w:val="6"/>
          <w:sz w:val="32"/>
          <w:szCs w:val="32"/>
        </w:rPr>
      </w:pPr>
    </w:p>
    <w:p>
      <w:pPr>
        <w:pStyle w:val="18"/>
        <w:keepNext w:val="0"/>
        <w:keepLines w:val="0"/>
        <w:pageBreakBefore w:val="0"/>
        <w:widowControl w:val="0"/>
        <w:kinsoku/>
        <w:wordWrap/>
        <w:overflowPunct/>
        <w:topLinePunct/>
        <w:autoSpaceDE/>
        <w:autoSpaceDN/>
        <w:bidi w:val="0"/>
        <w:adjustRightInd w:val="0"/>
        <w:snapToGrid w:val="0"/>
        <w:spacing w:line="550" w:lineRule="exact"/>
        <w:textAlignment w:val="auto"/>
        <w:rPr>
          <w:rFonts w:hint="eastAsia" w:ascii="仿宋" w:hAnsi="仿宋" w:eastAsia="仿宋" w:cs="仿宋"/>
          <w:b w:val="0"/>
          <w:bCs w:val="0"/>
          <w:spacing w:val="6"/>
          <w:sz w:val="32"/>
          <w:szCs w:val="32"/>
        </w:rPr>
      </w:pPr>
    </w:p>
    <w:tbl>
      <w:tblPr>
        <w:tblStyle w:val="10"/>
        <w:tblW w:w="8666" w:type="dxa"/>
        <w:jc w:val="center"/>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66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592" w:hRule="exact"/>
          <w:jc w:val="center"/>
        </w:trPr>
        <w:tc>
          <w:tcPr>
            <w:tcW w:w="8666" w:type="dxa"/>
            <w:tcBorders>
              <w:bottom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360" w:lineRule="auto"/>
              <w:ind w:left="0" w:leftChars="0"/>
              <w:jc w:val="center"/>
              <w:textAlignment w:val="auto"/>
              <w:rPr>
                <w:rFonts w:hint="eastAsia" w:ascii="方正仿宋_GBK" w:hAnsi="方正仿宋_GBK" w:eastAsia="方正仿宋_GBK" w:cs="方正仿宋_GBK"/>
                <w:b w:val="0"/>
                <w:bCs w:val="0"/>
                <w:sz w:val="28"/>
                <w:szCs w:val="28"/>
              </w:rPr>
            </w:pPr>
            <w:r>
              <w:rPr>
                <w:rFonts w:hint="eastAsia" w:ascii="黑体" w:hAnsi="黑体" w:eastAsia="黑体" w:cs="黑体"/>
                <w:b w:val="0"/>
                <w:bCs w:val="0"/>
                <w:sz w:val="32"/>
                <w:szCs w:val="32"/>
              </w:rPr>
              <w:t>专栏5</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调节能力倍增</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2290" w:hRule="atLeast"/>
          <w:jc w:val="center"/>
        </w:trPr>
        <w:tc>
          <w:tcPr>
            <w:tcW w:w="8666" w:type="dxa"/>
            <w:tcBorders>
              <w:top w:val="single" w:color="000000" w:sz="4" w:space="0"/>
              <w:bottom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28"/>
                <w:szCs w:val="28"/>
              </w:rPr>
            </w:pPr>
            <w:r>
              <w:rPr>
                <w:rFonts w:hint="eastAsia" w:ascii="仿宋" w:hAnsi="仿宋" w:eastAsia="仿宋" w:cs="仿宋"/>
                <w:b w:val="0"/>
                <w:bCs w:val="0"/>
                <w:sz w:val="28"/>
                <w:szCs w:val="28"/>
                <w:lang w:val="en-US" w:eastAsia="zh-CN"/>
              </w:rPr>
              <w:t xml:space="preserve">    1.</w:t>
            </w:r>
            <w:r>
              <w:rPr>
                <w:rFonts w:hint="eastAsia" w:ascii="仿宋" w:hAnsi="仿宋" w:eastAsia="仿宋" w:cs="仿宋"/>
                <w:b w:val="0"/>
                <w:bCs w:val="0"/>
                <w:sz w:val="28"/>
                <w:szCs w:val="28"/>
              </w:rPr>
              <w:t>抽水蓄能</w:t>
            </w:r>
            <w:r>
              <w:rPr>
                <w:rFonts w:hint="eastAsia" w:ascii="仿宋" w:hAnsi="仿宋" w:eastAsia="仿宋" w:cs="仿宋"/>
                <w:b w:val="0"/>
                <w:bCs w:val="0"/>
                <w:sz w:val="28"/>
                <w:szCs w:val="28"/>
                <w:lang w:eastAsia="zh-CN"/>
              </w:rPr>
              <w:t>。</w:t>
            </w:r>
            <w:r>
              <w:rPr>
                <w:rFonts w:hint="eastAsia" w:ascii="仿宋" w:hAnsi="仿宋" w:eastAsia="仿宋" w:cs="仿宋"/>
                <w:b w:val="0"/>
                <w:bCs w:val="0"/>
                <w:spacing w:val="6"/>
                <w:sz w:val="28"/>
                <w:szCs w:val="28"/>
              </w:rPr>
              <w:t>加快赤峰芝瑞和乌海抽水蓄能电站建设，</w:t>
            </w:r>
            <w:r>
              <w:rPr>
                <w:rFonts w:hint="eastAsia" w:ascii="仿宋" w:hAnsi="仿宋" w:eastAsia="仿宋" w:cs="仿宋"/>
                <w:b w:val="0"/>
                <w:bCs w:val="0"/>
                <w:sz w:val="28"/>
                <w:szCs w:val="28"/>
              </w:rPr>
              <w:t>力争赤峰芝瑞抽水蓄能电站于2027年底前投产</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乌海抽水蓄能电站于2028年底前投产；推动包头美岱抽水蓄能电站项目尽快开工建设；推动赤峰广兴源、巴彦淖尔太阳沟抽水蓄能电站尽快核准；推动呼和浩特</w:t>
            </w:r>
            <w:r>
              <w:rPr>
                <w:rFonts w:hint="eastAsia" w:ascii="仿宋" w:hAnsi="仿宋" w:eastAsia="仿宋" w:cs="仿宋"/>
                <w:b w:val="0"/>
                <w:bCs w:val="0"/>
                <w:sz w:val="28"/>
                <w:szCs w:val="28"/>
                <w:lang w:eastAsia="zh-CN"/>
              </w:rPr>
              <w:t>市</w:t>
            </w:r>
            <w:r>
              <w:rPr>
                <w:rFonts w:hint="eastAsia" w:ascii="仿宋" w:hAnsi="仿宋" w:eastAsia="仿宋" w:cs="仿宋"/>
                <w:b w:val="0"/>
                <w:bCs w:val="0"/>
                <w:sz w:val="28"/>
                <w:szCs w:val="28"/>
              </w:rPr>
              <w:t>、兴安盟、通辽</w:t>
            </w:r>
            <w:r>
              <w:rPr>
                <w:rFonts w:hint="eastAsia" w:ascii="仿宋" w:hAnsi="仿宋" w:eastAsia="仿宋" w:cs="仿宋"/>
                <w:b w:val="0"/>
                <w:bCs w:val="0"/>
                <w:sz w:val="28"/>
                <w:szCs w:val="28"/>
                <w:lang w:eastAsia="zh-CN"/>
              </w:rPr>
              <w:t>市</w:t>
            </w:r>
            <w:r>
              <w:rPr>
                <w:rFonts w:hint="eastAsia" w:ascii="仿宋" w:hAnsi="仿宋" w:eastAsia="仿宋" w:cs="仿宋"/>
                <w:b w:val="0"/>
                <w:bCs w:val="0"/>
                <w:sz w:val="28"/>
                <w:szCs w:val="28"/>
              </w:rPr>
              <w:t>、锡林郭勒</w:t>
            </w:r>
            <w:r>
              <w:rPr>
                <w:rFonts w:hint="eastAsia" w:ascii="仿宋" w:hAnsi="仿宋" w:eastAsia="仿宋" w:cs="仿宋"/>
                <w:b w:val="0"/>
                <w:bCs w:val="0"/>
                <w:sz w:val="28"/>
                <w:szCs w:val="28"/>
                <w:lang w:eastAsia="zh-CN"/>
              </w:rPr>
              <w:t>盟</w:t>
            </w:r>
            <w:r>
              <w:rPr>
                <w:rFonts w:hint="eastAsia" w:ascii="仿宋" w:hAnsi="仿宋" w:eastAsia="仿宋" w:cs="仿宋"/>
                <w:b w:val="0"/>
                <w:bCs w:val="0"/>
                <w:sz w:val="28"/>
                <w:szCs w:val="28"/>
              </w:rPr>
              <w:t>、</w:t>
            </w:r>
            <w:r>
              <w:rPr>
                <w:rFonts w:hint="eastAsia" w:ascii="仿宋" w:hAnsi="仿宋" w:eastAsia="仿宋" w:cs="仿宋"/>
                <w:b w:val="0"/>
                <w:bCs w:val="0"/>
                <w:spacing w:val="6"/>
                <w:sz w:val="28"/>
                <w:szCs w:val="28"/>
              </w:rPr>
              <w:t>乌兰察布</w:t>
            </w:r>
            <w:r>
              <w:rPr>
                <w:rFonts w:hint="eastAsia" w:ascii="仿宋" w:hAnsi="仿宋" w:eastAsia="仿宋" w:cs="仿宋"/>
                <w:b w:val="0"/>
                <w:bCs w:val="0"/>
                <w:spacing w:val="6"/>
                <w:sz w:val="28"/>
                <w:szCs w:val="28"/>
                <w:lang w:eastAsia="zh-CN"/>
              </w:rPr>
              <w:t>市</w:t>
            </w:r>
            <w:r>
              <w:rPr>
                <w:rFonts w:hint="eastAsia" w:ascii="仿宋" w:hAnsi="仿宋" w:eastAsia="仿宋" w:cs="仿宋"/>
                <w:b w:val="0"/>
                <w:bCs w:val="0"/>
                <w:spacing w:val="6"/>
                <w:sz w:val="28"/>
                <w:szCs w:val="28"/>
              </w:rPr>
              <w:t>、</w:t>
            </w:r>
            <w:r>
              <w:rPr>
                <w:rFonts w:hint="eastAsia" w:ascii="仿宋" w:hAnsi="仿宋" w:eastAsia="仿宋" w:cs="仿宋"/>
                <w:b w:val="0"/>
                <w:bCs w:val="0"/>
                <w:sz w:val="28"/>
                <w:szCs w:val="28"/>
              </w:rPr>
              <w:t>巴彦淖尔</w:t>
            </w:r>
            <w:r>
              <w:rPr>
                <w:rFonts w:hint="eastAsia" w:ascii="仿宋" w:hAnsi="仿宋" w:eastAsia="仿宋" w:cs="仿宋"/>
                <w:b w:val="0"/>
                <w:bCs w:val="0"/>
                <w:sz w:val="28"/>
                <w:szCs w:val="28"/>
                <w:lang w:eastAsia="zh-CN"/>
              </w:rPr>
              <w:t>市</w:t>
            </w:r>
            <w:r>
              <w:rPr>
                <w:rFonts w:hint="eastAsia" w:ascii="仿宋" w:hAnsi="仿宋" w:eastAsia="仿宋" w:cs="仿宋"/>
                <w:b w:val="0"/>
                <w:bCs w:val="0"/>
                <w:sz w:val="28"/>
                <w:szCs w:val="28"/>
              </w:rPr>
              <w:t>等盟市约20个抽水蓄能电站项目尽快纳入国家规划。</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2905" w:hRule="atLeast"/>
          <w:jc w:val="center"/>
        </w:trPr>
        <w:tc>
          <w:tcPr>
            <w:tcW w:w="8666" w:type="dxa"/>
            <w:tcBorders>
              <w:top w:val="single" w:color="000000" w:sz="8"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火电灵活性改造</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力争2023年完成新增火电灵活性改造700万千瓦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2024年完成新增火电灵活性改造600万千瓦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2025年完成新增火电灵活性改造500万千瓦。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新型储能</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力争2023年完成新增新型储能并网300万千瓦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2024年完成新增新型储能并网300万千瓦</w:t>
            </w:r>
            <w:r>
              <w:rPr>
                <w:rFonts w:hint="eastAsia" w:ascii="仿宋" w:hAnsi="仿宋" w:eastAsia="仿宋" w:cs="仿宋"/>
                <w:b w:val="0"/>
                <w:bCs w:val="0"/>
                <w:sz w:val="28"/>
                <w:szCs w:val="28"/>
                <w:lang w:eastAsia="zh-CN"/>
              </w:rPr>
              <w:t>、</w:t>
            </w:r>
            <w:r>
              <w:rPr>
                <w:rFonts w:hint="eastAsia" w:ascii="仿宋" w:hAnsi="仿宋" w:eastAsia="仿宋" w:cs="仿宋"/>
                <w:b w:val="0"/>
                <w:bCs w:val="0"/>
                <w:spacing w:val="6"/>
                <w:sz w:val="28"/>
                <w:szCs w:val="28"/>
              </w:rPr>
              <w:t>2025年完成新增新型储能并网</w:t>
            </w:r>
            <w:r>
              <w:rPr>
                <w:rFonts w:hint="eastAsia" w:ascii="仿宋" w:hAnsi="仿宋" w:eastAsia="仿宋" w:cs="仿宋"/>
                <w:b w:val="0"/>
                <w:bCs w:val="0"/>
                <w:sz w:val="28"/>
                <w:szCs w:val="28"/>
              </w:rPr>
              <w:t>300万千瓦。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方正仿宋_GBK" w:hAnsi="方正仿宋_GBK" w:eastAsia="方正仿宋_GBK" w:cs="方正仿宋_GBK"/>
                <w:b w:val="0"/>
                <w:bCs w:val="0"/>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光热发电</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力争2025年底前完成新增光热发电并网20万千瓦。</w:t>
            </w:r>
          </w:p>
        </w:tc>
      </w:tr>
    </w:tbl>
    <w:p>
      <w:pPr>
        <w:pStyle w:val="18"/>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 w:hAnsi="仿宋" w:eastAsia="仿宋" w:cs="仿宋"/>
          <w:b w:val="0"/>
          <w:bCs w:val="0"/>
          <w:sz w:val="32"/>
          <w:szCs w:val="32"/>
        </w:rPr>
      </w:pPr>
      <w:bookmarkStart w:id="53" w:name="_Toc141020749"/>
      <w:bookmarkStart w:id="54" w:name="_Toc141021664"/>
      <w:bookmarkStart w:id="55" w:name="_Toc141285135"/>
      <w:bookmarkStart w:id="56" w:name="_Toc141021688"/>
      <w:r>
        <w:rPr>
          <w:rFonts w:hint="eastAsia" w:ascii="楷体" w:hAnsi="楷体" w:eastAsia="楷体" w:cs="楷体"/>
          <w:b w:val="0"/>
          <w:bCs w:val="0"/>
          <w:sz w:val="32"/>
          <w:szCs w:val="32"/>
        </w:rPr>
        <w:t>（七）大力推动新能源装备制造全产业链发展</w:t>
      </w:r>
      <w:bookmarkEnd w:id="53"/>
      <w:bookmarkEnd w:id="54"/>
      <w:bookmarkEnd w:id="55"/>
      <w:bookmarkEnd w:id="56"/>
      <w:r>
        <w:rPr>
          <w:rFonts w:hint="eastAsia" w:ascii="楷体" w:hAnsi="楷体" w:eastAsia="楷体" w:cs="楷体"/>
          <w:b w:val="0"/>
          <w:bCs w:val="0"/>
          <w:sz w:val="32"/>
          <w:szCs w:val="32"/>
          <w:lang w:eastAsia="zh-CN"/>
        </w:rPr>
        <w:t>。</w:t>
      </w:r>
      <w:r>
        <w:rPr>
          <w:rFonts w:hint="eastAsia" w:ascii="仿宋" w:hAnsi="仿宋" w:eastAsia="仿宋" w:cs="仿宋"/>
          <w:b w:val="0"/>
          <w:bCs w:val="0"/>
          <w:spacing w:val="-6"/>
          <w:sz w:val="32"/>
          <w:szCs w:val="32"/>
        </w:rPr>
        <w:t>坚持调结构、</w:t>
      </w:r>
      <w:r>
        <w:rPr>
          <w:rFonts w:hint="eastAsia" w:ascii="仿宋" w:hAnsi="仿宋" w:eastAsia="仿宋" w:cs="仿宋"/>
          <w:b w:val="0"/>
          <w:bCs w:val="0"/>
          <w:sz w:val="32"/>
          <w:szCs w:val="32"/>
        </w:rPr>
        <w:t>转功能、提质量，</w:t>
      </w:r>
      <w:r>
        <w:rPr>
          <w:rFonts w:hint="eastAsia" w:ascii="仿宋" w:hAnsi="仿宋" w:eastAsia="仿宋" w:cs="仿宋"/>
          <w:b w:val="0"/>
          <w:bCs w:val="0"/>
          <w:spacing w:val="6"/>
          <w:sz w:val="32"/>
          <w:szCs w:val="32"/>
        </w:rPr>
        <w:t>因地制宜发展战略性新兴产业和先进制造业，</w:t>
      </w:r>
      <w:r>
        <w:rPr>
          <w:rFonts w:hint="eastAsia" w:ascii="仿宋" w:hAnsi="仿宋" w:eastAsia="仿宋" w:cs="仿宋"/>
          <w:b w:val="0"/>
          <w:bCs w:val="0"/>
          <w:sz w:val="32"/>
          <w:szCs w:val="32"/>
        </w:rPr>
        <w:t>推动相关产业迈向高端化、智能化、绿色化。大力发展新能源装备制造业和运维服务业，壮大风光氢储四大产业集群。打造区域风电装备制造产业链，加快风电机组自主创新设计和上游供应链本地创新培育能力建设，实施延链、补链工程，做大做强绿色智能风电装备制造，打造集设计、研发、制造、培训、服务为一体的风能产业体系，形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风机制造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配套零部件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设备运维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风电基地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产业链条。推动光伏产业链集群式发展，以硅材料先发优势为基础，推动光伏全产业链集群式发展，持续鼓励先进光伏晶硅材料技术的研发应用，支持光伏晶硅材料向下游硅片、电池、组件方向拓展，形成具备一定规模化产能的区内硅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硅棒</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硅片</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电池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组件产业链，形成以呼包鄂为中心的先进光伏产业集群。加快发展氢能与燃料电池产业，依托丰富的新能源资源和氢能应用场景，统筹规划绿氢产业体系发展，加快引进一批掌握核心技术的新能源制氢、加氢、储氢装备制造企业和燃料电池研发生产企业，在包头</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、赤峰</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、鄂尔多斯</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、乌海</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等盟市结合公共交通、物流、采矿等领域试点、示范、推广氢燃料电池汽车，构建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制储运用研一体化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氢能产业链。构建完整的新型储能产用研建设体系，依托锂离子电池正负极材料、石墨电极、隔膜等产业基础，引进以电化学储能、压缩空气储能、飞轮储能、储热蓄能装备等先进装备制造业，培育发展配套产业，带动新型储能装备制造业发展。</w:t>
      </w:r>
    </w:p>
    <w:tbl>
      <w:tblPr>
        <w:tblStyle w:val="10"/>
        <w:tblW w:w="8939" w:type="dxa"/>
        <w:jc w:val="center"/>
        <w:tblInd w:w="0" w:type="dxa"/>
        <w:tblLayout w:type="fixed"/>
        <w:tblCellMar>
          <w:top w:w="0" w:type="dxa"/>
          <w:left w:w="0" w:type="dxa"/>
          <w:bottom w:w="0" w:type="dxa"/>
          <w:right w:w="0" w:type="dxa"/>
        </w:tblCellMar>
      </w:tblPr>
      <w:tblGrid>
        <w:gridCol w:w="8939"/>
      </w:tblGrid>
      <w:tr>
        <w:tblPrEx>
          <w:tblLayout w:type="fixed"/>
          <w:tblCellMar>
            <w:top w:w="0" w:type="dxa"/>
            <w:left w:w="0" w:type="dxa"/>
            <w:bottom w:w="0" w:type="dxa"/>
            <w:right w:w="0" w:type="dxa"/>
          </w:tblCellMar>
        </w:tblPrEx>
        <w:trPr>
          <w:trHeight w:val="567" w:hRule="atLeast"/>
          <w:jc w:val="center"/>
        </w:trPr>
        <w:tc>
          <w:tcPr>
            <w:tcW w:w="8939" w:type="dxa"/>
            <w:tcBorders>
              <w:top w:val="single" w:color="000000" w:sz="8" w:space="0"/>
              <w:left w:val="single" w:color="000000" w:sz="8"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wordWrap/>
              <w:overflowPunct/>
              <w:topLinePunct w:val="0"/>
              <w:bidi w:val="0"/>
              <w:spacing w:line="240" w:lineRule="auto"/>
              <w:ind w:left="0" w:leftChars="0"/>
              <w:jc w:val="center"/>
              <w:textAlignment w:val="auto"/>
              <w:rPr>
                <w:rFonts w:hint="eastAsia" w:ascii="方正仿宋_GBK" w:hAnsi="方正仿宋_GBK" w:eastAsia="方正仿宋_GBK" w:cs="方正仿宋_GBK"/>
                <w:b w:val="0"/>
                <w:bCs w:val="0"/>
                <w:sz w:val="28"/>
                <w:szCs w:val="28"/>
              </w:rPr>
            </w:pPr>
            <w:r>
              <w:rPr>
                <w:rFonts w:hint="eastAsia" w:ascii="黑体" w:hAnsi="黑体" w:eastAsia="黑体" w:cs="黑体"/>
                <w:b w:val="0"/>
                <w:bCs w:val="0"/>
                <w:sz w:val="32"/>
                <w:szCs w:val="32"/>
              </w:rPr>
              <w:t xml:space="preserve">专栏6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推进全产业链发展</w:t>
            </w:r>
          </w:p>
        </w:tc>
      </w:tr>
      <w:tr>
        <w:tblPrEx>
          <w:tblLayout w:type="fixed"/>
          <w:tblCellMar>
            <w:top w:w="0" w:type="dxa"/>
            <w:left w:w="0" w:type="dxa"/>
            <w:bottom w:w="0" w:type="dxa"/>
            <w:right w:w="0" w:type="dxa"/>
          </w:tblCellMar>
        </w:tblPrEx>
        <w:trPr>
          <w:trHeight w:val="2958" w:hRule="atLeast"/>
          <w:jc w:val="center"/>
        </w:trPr>
        <w:tc>
          <w:tcPr>
            <w:tcW w:w="8939" w:type="dxa"/>
            <w:tcBorders>
              <w:top w:val="single" w:color="000000" w:sz="4"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0"/>
                <w:sz w:val="28"/>
                <w:szCs w:val="28"/>
              </w:rPr>
            </w:pPr>
            <w:r>
              <w:rPr>
                <w:rFonts w:hint="eastAsia" w:ascii="方正仿宋_GBK" w:hAnsi="方正仿宋_GBK" w:eastAsia="方正仿宋_GBK" w:cs="方正仿宋_GBK"/>
                <w:b w:val="0"/>
                <w:bCs w:val="0"/>
                <w:sz w:val="28"/>
                <w:szCs w:val="28"/>
                <w:lang w:val="en-US" w:eastAsia="zh-CN"/>
              </w:rPr>
              <w:t xml:space="preserve">  </w:t>
            </w:r>
            <w:r>
              <w:rPr>
                <w:rFonts w:hint="eastAsia" w:ascii="仿宋" w:hAnsi="仿宋" w:eastAsia="仿宋" w:cs="仿宋"/>
                <w:b w:val="0"/>
                <w:bCs w:val="0"/>
                <w:sz w:val="28"/>
                <w:szCs w:val="28"/>
                <w:lang w:val="en-US" w:eastAsia="zh-CN"/>
              </w:rPr>
              <w:t xml:space="preserve">  1.</w:t>
            </w:r>
            <w:r>
              <w:rPr>
                <w:rFonts w:hint="eastAsia" w:ascii="仿宋" w:hAnsi="仿宋" w:eastAsia="仿宋" w:cs="仿宋"/>
                <w:b w:val="0"/>
                <w:bCs w:val="0"/>
                <w:sz w:val="28"/>
                <w:szCs w:val="28"/>
              </w:rPr>
              <w:t>风电产业链</w:t>
            </w:r>
            <w:r>
              <w:rPr>
                <w:rFonts w:hint="eastAsia" w:ascii="仿宋" w:hAnsi="仿宋" w:eastAsia="仿宋" w:cs="仿宋"/>
                <w:b w:val="0"/>
                <w:bCs w:val="0"/>
                <w:sz w:val="28"/>
                <w:szCs w:val="28"/>
                <w:lang w:eastAsia="zh-CN"/>
              </w:rPr>
              <w:t>。</w:t>
            </w:r>
            <w:r>
              <w:rPr>
                <w:rFonts w:hint="eastAsia" w:ascii="仿宋" w:hAnsi="仿宋" w:eastAsia="仿宋" w:cs="仿宋"/>
                <w:b w:val="0"/>
                <w:bCs w:val="0"/>
                <w:kern w:val="0"/>
                <w:sz w:val="28"/>
                <w:szCs w:val="28"/>
              </w:rPr>
              <w:t>到2025年</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风电整建制配套能力达到2500万千瓦。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光伏产业链</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到2025年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单晶硅、多晶硅达到140万吨，光伏组件供给能力达到7000万千瓦。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氢能产业链</w:t>
            </w:r>
            <w:r>
              <w:rPr>
                <w:rFonts w:hint="eastAsia" w:ascii="仿宋" w:hAnsi="仿宋" w:eastAsia="仿宋" w:cs="仿宋"/>
                <w:b w:val="0"/>
                <w:bCs w:val="0"/>
                <w:sz w:val="28"/>
                <w:szCs w:val="28"/>
                <w:lang w:eastAsia="zh-CN"/>
              </w:rPr>
              <w:t>。</w:t>
            </w:r>
            <w:r>
              <w:rPr>
                <w:rFonts w:hint="eastAsia" w:ascii="仿宋" w:hAnsi="仿宋" w:eastAsia="仿宋" w:cs="仿宋"/>
                <w:b w:val="0"/>
                <w:bCs w:val="0"/>
                <w:kern w:val="0"/>
                <w:sz w:val="28"/>
                <w:szCs w:val="28"/>
              </w:rPr>
              <w:t>到2025年</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绿氢产能突破50万吨，制氢设备产能达到1000台套。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方正仿宋_GBK" w:hAnsi="方正仿宋_GBK" w:eastAsia="方正仿宋_GBK" w:cs="方正仿宋_GBK"/>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储能产业链</w:t>
            </w:r>
            <w:r>
              <w:rPr>
                <w:rFonts w:hint="eastAsia" w:ascii="仿宋" w:hAnsi="仿宋" w:eastAsia="仿宋" w:cs="仿宋"/>
                <w:b w:val="0"/>
                <w:bCs w:val="0"/>
                <w:sz w:val="28"/>
                <w:szCs w:val="28"/>
                <w:lang w:eastAsia="zh-CN"/>
              </w:rPr>
              <w:t>。</w:t>
            </w:r>
            <w:r>
              <w:rPr>
                <w:rFonts w:hint="eastAsia" w:ascii="仿宋" w:hAnsi="仿宋" w:eastAsia="仿宋" w:cs="仿宋"/>
                <w:b w:val="0"/>
                <w:bCs w:val="0"/>
                <w:kern w:val="0"/>
                <w:sz w:val="28"/>
                <w:szCs w:val="28"/>
              </w:rPr>
              <w:t>到2025年</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储能装备生产能力满足1000万千瓦时储能装机需求。</w:t>
            </w:r>
          </w:p>
        </w:tc>
      </w:tr>
    </w:tbl>
    <w:p>
      <w:pPr>
        <w:pStyle w:val="18"/>
        <w:keepNext w:val="0"/>
        <w:keepLines w:val="0"/>
        <w:pageBreakBefore w:val="0"/>
        <w:widowControl w:val="0"/>
        <w:kinsoku/>
        <w:wordWrap/>
        <w:overflowPunct/>
        <w:topLinePunct/>
        <w:bidi w:val="0"/>
        <w:adjustRightInd w:val="0"/>
        <w:snapToGrid w:val="0"/>
        <w:spacing w:line="580" w:lineRule="exact"/>
        <w:textAlignment w:val="auto"/>
        <w:rPr>
          <w:rFonts w:hint="eastAsia" w:ascii="仿宋" w:hAnsi="仿宋" w:eastAsia="仿宋" w:cs="仿宋"/>
          <w:b w:val="0"/>
          <w:bCs w:val="0"/>
          <w:sz w:val="32"/>
          <w:szCs w:val="32"/>
        </w:rPr>
      </w:pPr>
      <w:bookmarkStart w:id="57" w:name="_Toc141021689"/>
      <w:bookmarkStart w:id="58" w:name="_Toc141285136"/>
      <w:bookmarkStart w:id="59" w:name="_Toc141021665"/>
      <w:bookmarkStart w:id="60" w:name="_Toc141020750"/>
      <w:r>
        <w:rPr>
          <w:rFonts w:hint="eastAsia" w:ascii="楷体" w:hAnsi="楷体" w:eastAsia="楷体" w:cs="楷体"/>
          <w:b w:val="0"/>
          <w:bCs w:val="0"/>
          <w:sz w:val="32"/>
          <w:szCs w:val="32"/>
        </w:rPr>
        <w:t>（八）加快健全完善市场化机制</w:t>
      </w:r>
      <w:bookmarkEnd w:id="57"/>
      <w:bookmarkEnd w:id="58"/>
      <w:bookmarkEnd w:id="59"/>
      <w:bookmarkEnd w:id="60"/>
      <w:bookmarkStart w:id="61" w:name="_Hlk139376289"/>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rPr>
        <w:t>进一步</w:t>
      </w:r>
      <w:bookmarkEnd w:id="61"/>
      <w:r>
        <w:rPr>
          <w:rFonts w:hint="eastAsia" w:ascii="仿宋" w:hAnsi="仿宋" w:eastAsia="仿宋" w:cs="仿宋"/>
          <w:b w:val="0"/>
          <w:bCs w:val="0"/>
          <w:sz w:val="32"/>
          <w:szCs w:val="32"/>
        </w:rPr>
        <w:t>完善市场化项目实施细则，明确各项</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rPr>
        <w:t>要求，解决市场化项目实施过程中出现的配套产业、项目建设运行方式等问题，加大项目调度管理工作力度，推动市场化项目尽快投产。</w:t>
      </w:r>
      <w:r>
        <w:rPr>
          <w:rFonts w:hint="eastAsia" w:ascii="仿宋" w:hAnsi="仿宋" w:eastAsia="仿宋" w:cs="仿宋"/>
          <w:b w:val="0"/>
          <w:bCs w:val="0"/>
          <w:snapToGrid w:val="0"/>
          <w:sz w:val="32"/>
          <w:szCs w:val="32"/>
        </w:rPr>
        <w:t>加快出台独立共享</w:t>
      </w:r>
      <w:r>
        <w:rPr>
          <w:rFonts w:hint="eastAsia" w:ascii="仿宋" w:hAnsi="仿宋" w:eastAsia="仿宋" w:cs="仿宋"/>
          <w:b w:val="0"/>
          <w:bCs w:val="0"/>
          <w:snapToGrid w:val="0"/>
          <w:color w:val="000000"/>
          <w:sz w:val="32"/>
          <w:szCs w:val="32"/>
        </w:rPr>
        <w:t>储能政策</w:t>
      </w:r>
      <w:r>
        <w:rPr>
          <w:rFonts w:hint="eastAsia" w:ascii="仿宋" w:hAnsi="仿宋" w:eastAsia="仿宋" w:cs="仿宋"/>
          <w:b w:val="0"/>
          <w:bCs w:val="0"/>
          <w:color w:val="000000"/>
          <w:sz w:val="32"/>
          <w:szCs w:val="32"/>
        </w:rPr>
        <w:t>，完善独立共享储能运行管理机制，细化</w:t>
      </w:r>
      <w:r>
        <w:rPr>
          <w:rFonts w:hint="eastAsia" w:ascii="仿宋" w:hAnsi="仿宋" w:eastAsia="仿宋" w:cs="仿宋"/>
          <w:b w:val="0"/>
          <w:bCs w:val="0"/>
          <w:sz w:val="32"/>
          <w:szCs w:val="32"/>
        </w:rPr>
        <w:t>电力现货市场和辅助服务市场交易等管理模式</w:t>
      </w:r>
      <w:r>
        <w:rPr>
          <w:rFonts w:hint="eastAsia" w:ascii="仿宋" w:hAnsi="仿宋" w:eastAsia="仿宋" w:cs="仿宋"/>
          <w:b w:val="0"/>
          <w:bCs w:val="0"/>
          <w:color w:val="000000"/>
          <w:sz w:val="32"/>
          <w:szCs w:val="32"/>
        </w:rPr>
        <w:t>，出台容量补偿、共享收益等储能政策，推动</w:t>
      </w:r>
      <w:r>
        <w:rPr>
          <w:rFonts w:hint="eastAsia" w:ascii="仿宋" w:hAnsi="仿宋" w:eastAsia="仿宋" w:cs="仿宋"/>
          <w:b w:val="0"/>
          <w:bCs w:val="0"/>
          <w:snapToGrid w:val="0"/>
          <w:sz w:val="32"/>
          <w:szCs w:val="32"/>
        </w:rPr>
        <w:t>电化学、压缩空气、飞轮、重力、超级电容等新型储能布局，鼓励独立共享储能电站开展新型储能技术应用示范、首台（套）重大技术装备示范，支持开展新型储能技术路线试点示范。</w:t>
      </w:r>
      <w:r>
        <w:rPr>
          <w:rFonts w:hint="eastAsia" w:ascii="仿宋" w:hAnsi="仿宋" w:eastAsia="仿宋" w:cs="仿宋"/>
          <w:b w:val="0"/>
          <w:bCs w:val="0"/>
          <w:sz w:val="32"/>
          <w:szCs w:val="32"/>
        </w:rPr>
        <w:t>推动建立自治区绿电交易体制，充分结合电力市场建设现状，借鉴国内绿色电力交易经验，坚持绿色优先、安全可靠、市场导向、试点先行的原则，试点建立绿色电力交易机制与市场体系，推动风电、光伏等新能源参与市场交易，推动新能源大规模高比例消纳，促进绿色能源快速发展，在现有电力市场框架下出台内蒙古电力市场绿色电力交易试点方案，逐步建立风电、光伏等绿色电力市场长效机制。优化电价机制，推动源网荷储、风光制氢、全额自发自用等新能源自备电站，自发自用电量免于征收系统备用费和政策性交叉补贴。待国家相应政策出台后，按国家政策执行。调整电力现货市场新能源结算机制，按照现货市场实际出清以及中长期合约签订情况进行结算。推动市场化项目直接与配套用电负荷交易，非一体化以及通过大</w:t>
      </w:r>
      <w:r>
        <w:rPr>
          <w:rFonts w:hint="eastAsia" w:ascii="仿宋" w:hAnsi="仿宋" w:eastAsia="仿宋" w:cs="仿宋"/>
          <w:b w:val="0"/>
          <w:bCs w:val="0"/>
          <w:spacing w:val="6"/>
          <w:sz w:val="32"/>
          <w:szCs w:val="32"/>
        </w:rPr>
        <w:t>电网供电的市场化并网新能源项目，</w:t>
      </w:r>
      <w:r>
        <w:rPr>
          <w:rFonts w:hint="eastAsia" w:ascii="仿宋" w:hAnsi="仿宋" w:eastAsia="仿宋" w:cs="仿宋"/>
          <w:b w:val="0"/>
          <w:bCs w:val="0"/>
          <w:sz w:val="32"/>
          <w:szCs w:val="32"/>
        </w:rPr>
        <w:t>通过签订中长期合约明确电量、电价，由内蒙古电力交易中心进行结算。</w:t>
      </w:r>
    </w:p>
    <w:p>
      <w:pPr>
        <w:pStyle w:val="18"/>
        <w:keepNext w:val="0"/>
        <w:keepLines w:val="0"/>
        <w:pageBreakBefore w:val="0"/>
        <w:widowControl w:val="0"/>
        <w:kinsoku/>
        <w:wordWrap/>
        <w:overflowPunct/>
        <w:topLinePunct/>
        <w:bidi w:val="0"/>
        <w:adjustRightInd w:val="0"/>
        <w:snapToGrid w:val="0"/>
        <w:spacing w:line="580" w:lineRule="exact"/>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（九）着力开展</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两高</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项目绿电替代</w:t>
      </w:r>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rPr>
        <w:t>研究出台支持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两高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项目绿电替代的政策措施，采取绿电直供、绿电交易等方式，开展高耗能用电负荷绿电替代，提高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两高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企业绿电消纳比例。开展存量用电负荷绿电替代，对于满足国家和自治区能耗、环保、产业政策要求的高载能存量负荷，参照市场化消纳新能源项目要求开展存量负荷绿电直供试点工作，积极探索可复制推广的存量负荷绿电替代模式，进一步提高自治区绿电消纳占比。</w:t>
      </w:r>
    </w:p>
    <w:p>
      <w:pPr>
        <w:pStyle w:val="17"/>
        <w:keepNext w:val="0"/>
        <w:keepLines w:val="0"/>
        <w:pageBreakBefore w:val="0"/>
        <w:widowControl w:val="0"/>
        <w:kinsoku/>
        <w:wordWrap/>
        <w:overflowPunct/>
        <w:topLinePunct/>
        <w:bidi w:val="0"/>
        <w:adjustRightInd w:val="0"/>
        <w:snapToGrid w:val="0"/>
        <w:spacing w:line="580" w:lineRule="exact"/>
        <w:ind w:left="0" w:leftChars="0" w:firstLine="640" w:firstLineChars="200"/>
        <w:textAlignment w:val="auto"/>
        <w:rPr>
          <w:rFonts w:hint="eastAsia" w:ascii="黑体" w:hAnsi="黑体" w:eastAsia="黑体" w:cs="黑体"/>
          <w:b w:val="0"/>
          <w:bCs w:val="0"/>
          <w:sz w:val="32"/>
          <w:szCs w:val="32"/>
        </w:rPr>
      </w:pPr>
      <w:bookmarkStart w:id="62" w:name="_Toc141020751"/>
      <w:bookmarkStart w:id="63" w:name="_Toc141285137"/>
      <w:bookmarkStart w:id="64" w:name="_Toc141021690"/>
      <w:bookmarkStart w:id="65" w:name="_Toc141021666"/>
      <w:bookmarkStart w:id="66" w:name="_Toc127736053"/>
      <w:r>
        <w:rPr>
          <w:rFonts w:hint="eastAsia" w:ascii="黑体" w:hAnsi="黑体" w:eastAsia="黑体" w:cs="黑体"/>
          <w:b w:val="0"/>
          <w:bCs w:val="0"/>
          <w:sz w:val="32"/>
          <w:szCs w:val="32"/>
        </w:rPr>
        <w:t>四、</w:t>
      </w:r>
      <w:bookmarkEnd w:id="62"/>
      <w:bookmarkEnd w:id="63"/>
      <w:bookmarkEnd w:id="64"/>
      <w:bookmarkEnd w:id="65"/>
      <w:bookmarkEnd w:id="66"/>
      <w:bookmarkStart w:id="67" w:name="_Hlk118317528"/>
      <w:r>
        <w:rPr>
          <w:rFonts w:hint="eastAsia" w:ascii="黑体" w:hAnsi="黑体" w:eastAsia="黑体" w:cs="黑体"/>
          <w:b w:val="0"/>
          <w:bCs w:val="0"/>
          <w:sz w:val="32"/>
          <w:szCs w:val="32"/>
        </w:rPr>
        <w:t>保障措施</w:t>
      </w:r>
    </w:p>
    <w:p>
      <w:pPr>
        <w:pStyle w:val="18"/>
        <w:keepNext w:val="0"/>
        <w:keepLines w:val="0"/>
        <w:pageBreakBefore w:val="0"/>
        <w:widowControl w:val="0"/>
        <w:kinsoku/>
        <w:wordWrap/>
        <w:overflowPunct/>
        <w:topLinePunct/>
        <w:bidi w:val="0"/>
        <w:adjustRightInd w:val="0"/>
        <w:snapToGrid w:val="0"/>
        <w:spacing w:line="580" w:lineRule="exact"/>
        <w:textAlignment w:val="auto"/>
        <w:rPr>
          <w:rStyle w:val="25"/>
          <w:rFonts w:hint="eastAsia" w:ascii="仿宋" w:hAnsi="仿宋" w:eastAsia="仿宋" w:cs="仿宋"/>
          <w:b w:val="0"/>
          <w:bCs w:val="0"/>
          <w:sz w:val="32"/>
          <w:szCs w:val="32"/>
        </w:rPr>
      </w:pPr>
      <w:bookmarkStart w:id="68" w:name="_Toc141285138"/>
      <w:bookmarkStart w:id="69" w:name="_Toc141021667"/>
      <w:bookmarkStart w:id="70" w:name="_Toc141021691"/>
      <w:bookmarkStart w:id="71" w:name="_Toc141020752"/>
      <w:r>
        <w:rPr>
          <w:rFonts w:hint="eastAsia" w:ascii="楷体" w:hAnsi="楷体" w:eastAsia="楷体" w:cs="楷体"/>
          <w:b w:val="0"/>
          <w:bCs w:val="0"/>
          <w:sz w:val="32"/>
          <w:szCs w:val="32"/>
        </w:rPr>
        <w:t>（一）加强组织领导</w:t>
      </w:r>
      <w:bookmarkEnd w:id="68"/>
      <w:bookmarkEnd w:id="69"/>
      <w:bookmarkEnd w:id="70"/>
      <w:bookmarkEnd w:id="71"/>
      <w:r>
        <w:rPr>
          <w:rFonts w:hint="eastAsia" w:ascii="楷体" w:hAnsi="楷体" w:eastAsia="楷体" w:cs="楷体"/>
          <w:b w:val="0"/>
          <w:bCs w:val="0"/>
          <w:sz w:val="32"/>
          <w:szCs w:val="32"/>
          <w:lang w:eastAsia="zh-CN"/>
        </w:rPr>
        <w:t>。</w:t>
      </w:r>
      <w:r>
        <w:rPr>
          <w:rStyle w:val="25"/>
          <w:rFonts w:hint="eastAsia" w:ascii="仿宋" w:hAnsi="仿宋" w:eastAsia="仿宋" w:cs="仿宋"/>
          <w:b w:val="0"/>
          <w:bCs w:val="0"/>
          <w:sz w:val="32"/>
          <w:szCs w:val="32"/>
        </w:rPr>
        <w:t>发挥政府统筹作用，开展电力设施国土空间专项规划编制，经盟市</w:t>
      </w:r>
      <w:r>
        <w:rPr>
          <w:rStyle w:val="25"/>
          <w:rFonts w:hint="eastAsia" w:ascii="仿宋" w:hAnsi="仿宋" w:eastAsia="仿宋" w:cs="仿宋"/>
          <w:b w:val="0"/>
          <w:bCs w:val="0"/>
          <w:sz w:val="32"/>
          <w:szCs w:val="32"/>
          <w:lang w:eastAsia="zh-CN"/>
        </w:rPr>
        <w:t>级</w:t>
      </w:r>
      <w:r>
        <w:rPr>
          <w:rStyle w:val="25"/>
          <w:rFonts w:hint="eastAsia" w:ascii="仿宋" w:hAnsi="仿宋" w:eastAsia="仿宋" w:cs="仿宋"/>
          <w:b w:val="0"/>
          <w:bCs w:val="0"/>
          <w:sz w:val="32"/>
          <w:szCs w:val="32"/>
        </w:rPr>
        <w:t>以上人民政府审批纳入各级国土空间规划。完善部门协调机制，</w:t>
      </w:r>
      <w:r>
        <w:rPr>
          <w:rStyle w:val="25"/>
          <w:rFonts w:hint="eastAsia" w:ascii="仿宋" w:hAnsi="仿宋" w:eastAsia="仿宋" w:cs="仿宋"/>
          <w:b w:val="0"/>
          <w:bCs w:val="0"/>
          <w:spacing w:val="6"/>
          <w:sz w:val="32"/>
          <w:szCs w:val="32"/>
        </w:rPr>
        <w:t>强化政策支持，研究完善政策，</w:t>
      </w:r>
      <w:r>
        <w:rPr>
          <w:rStyle w:val="25"/>
          <w:rFonts w:hint="eastAsia" w:ascii="仿宋" w:hAnsi="仿宋" w:eastAsia="仿宋" w:cs="仿宋"/>
          <w:b w:val="0"/>
          <w:bCs w:val="0"/>
          <w:sz w:val="32"/>
          <w:szCs w:val="32"/>
        </w:rPr>
        <w:t>建立自治区推进新能源发展工作机制，统筹解决重大问题。</w:t>
      </w:r>
    </w:p>
    <w:p>
      <w:pPr>
        <w:pStyle w:val="18"/>
        <w:keepNext w:val="0"/>
        <w:keepLines w:val="0"/>
        <w:pageBreakBefore w:val="0"/>
        <w:widowControl w:val="0"/>
        <w:kinsoku/>
        <w:wordWrap/>
        <w:overflowPunct/>
        <w:topLinePunct/>
        <w:bidi w:val="0"/>
        <w:adjustRightInd w:val="0"/>
        <w:snapToGrid w:val="0"/>
        <w:spacing w:line="580" w:lineRule="exact"/>
        <w:textAlignment w:val="auto"/>
        <w:rPr>
          <w:rFonts w:hint="eastAsia" w:ascii="方正仿宋_GBK" w:hAnsi="方正仿宋_GBK" w:eastAsia="方正仿宋_GBK" w:cs="方正仿宋_GBK"/>
          <w:b w:val="0"/>
          <w:bCs w:val="0"/>
          <w:sz w:val="32"/>
          <w:szCs w:val="32"/>
        </w:rPr>
      </w:pPr>
      <w:bookmarkStart w:id="72" w:name="_Toc141021669"/>
      <w:bookmarkStart w:id="73" w:name="_Toc141020754"/>
      <w:bookmarkStart w:id="74" w:name="_Toc141021693"/>
      <w:bookmarkStart w:id="75" w:name="_Toc141285140"/>
      <w:r>
        <w:rPr>
          <w:rFonts w:hint="eastAsia" w:ascii="楷体" w:hAnsi="楷体" w:eastAsia="楷体" w:cs="楷体"/>
          <w:b w:val="0"/>
          <w:bCs w:val="0"/>
          <w:sz w:val="32"/>
          <w:szCs w:val="32"/>
        </w:rPr>
        <w:t>（二）</w:t>
      </w:r>
      <w:bookmarkEnd w:id="72"/>
      <w:bookmarkEnd w:id="73"/>
      <w:bookmarkEnd w:id="74"/>
      <w:bookmarkEnd w:id="75"/>
      <w:r>
        <w:rPr>
          <w:rFonts w:hint="eastAsia" w:ascii="楷体" w:hAnsi="楷体" w:eastAsia="楷体" w:cs="楷体"/>
          <w:b w:val="0"/>
          <w:bCs w:val="0"/>
          <w:sz w:val="32"/>
          <w:szCs w:val="32"/>
        </w:rPr>
        <w:t>强化各方合作</w:t>
      </w:r>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rPr>
        <w:t>凝聚工作合力，推动各项工作落地见效。自治区</w:t>
      </w:r>
      <w:r>
        <w:rPr>
          <w:rFonts w:hint="eastAsia" w:ascii="仿宋" w:hAnsi="仿宋" w:eastAsia="仿宋" w:cs="仿宋"/>
          <w:b w:val="0"/>
          <w:bCs w:val="0"/>
          <w:sz w:val="32"/>
          <w:szCs w:val="32"/>
          <w:lang w:eastAsia="zh-CN"/>
        </w:rPr>
        <w:t>发展改革</w:t>
      </w:r>
      <w:r>
        <w:rPr>
          <w:rFonts w:hint="eastAsia" w:ascii="仿宋" w:hAnsi="仿宋" w:eastAsia="仿宋" w:cs="仿宋"/>
          <w:b w:val="0"/>
          <w:bCs w:val="0"/>
          <w:sz w:val="32"/>
          <w:szCs w:val="32"/>
        </w:rPr>
        <w:t>委、工</w:t>
      </w:r>
      <w:r>
        <w:rPr>
          <w:rFonts w:hint="eastAsia" w:ascii="仿宋" w:hAnsi="仿宋" w:eastAsia="仿宋" w:cs="仿宋"/>
          <w:b w:val="0"/>
          <w:bCs w:val="0"/>
          <w:sz w:val="32"/>
          <w:szCs w:val="32"/>
          <w:lang w:eastAsia="zh-CN"/>
        </w:rPr>
        <w:t>业和信息化</w:t>
      </w:r>
      <w:r>
        <w:rPr>
          <w:rFonts w:hint="eastAsia" w:ascii="仿宋" w:hAnsi="仿宋" w:eastAsia="仿宋" w:cs="仿宋"/>
          <w:b w:val="0"/>
          <w:bCs w:val="0"/>
          <w:sz w:val="32"/>
          <w:szCs w:val="32"/>
        </w:rPr>
        <w:t>厅、自然资源厅、生态环境厅、林草局、能源局等相关部门协调配合，共同推进重点任务落实，优化精简审批流程，为新能源项目落地创造有利条件。</w:t>
      </w:r>
    </w:p>
    <w:bookmarkEnd w:id="67"/>
    <w:p>
      <w:pPr>
        <w:pStyle w:val="18"/>
        <w:keepNext w:val="0"/>
        <w:keepLines w:val="0"/>
        <w:pageBreakBefore w:val="0"/>
        <w:widowControl w:val="0"/>
        <w:kinsoku/>
        <w:wordWrap/>
        <w:overflowPunct/>
        <w:topLinePunct/>
        <w:bidi w:val="0"/>
        <w:adjustRightInd w:val="0"/>
        <w:snapToGrid w:val="0"/>
        <w:spacing w:line="580" w:lineRule="exact"/>
        <w:textAlignment w:val="auto"/>
        <w:rPr>
          <w:rFonts w:hint="eastAsia" w:ascii="仿宋" w:hAnsi="仿宋" w:eastAsia="仿宋" w:cs="仿宋"/>
          <w:b w:val="0"/>
          <w:bCs w:val="0"/>
          <w:sz w:val="32"/>
          <w:szCs w:val="32"/>
        </w:rPr>
      </w:pPr>
      <w:bookmarkStart w:id="76" w:name="_Toc141285142"/>
      <w:r>
        <w:rPr>
          <w:rFonts w:hint="eastAsia" w:ascii="楷体" w:hAnsi="楷体" w:eastAsia="楷体" w:cs="楷体"/>
          <w:b w:val="0"/>
          <w:bCs w:val="0"/>
          <w:sz w:val="32"/>
          <w:szCs w:val="32"/>
        </w:rPr>
        <w:t>（三）</w:t>
      </w:r>
      <w:bookmarkEnd w:id="76"/>
      <w:r>
        <w:rPr>
          <w:rFonts w:hint="eastAsia" w:ascii="楷体" w:hAnsi="楷体" w:eastAsia="楷体" w:cs="楷体"/>
          <w:b w:val="0"/>
          <w:bCs w:val="0"/>
          <w:sz w:val="32"/>
          <w:szCs w:val="32"/>
        </w:rPr>
        <w:t>压实各方责任</w:t>
      </w:r>
      <w:r>
        <w:rPr>
          <w:rFonts w:hint="eastAsia" w:ascii="楷体" w:hAnsi="楷体" w:eastAsia="楷体" w:cs="楷体"/>
          <w:b w:val="0"/>
          <w:bCs w:val="0"/>
          <w:sz w:val="32"/>
          <w:szCs w:val="32"/>
          <w:lang w:eastAsia="zh-CN"/>
        </w:rPr>
        <w:t>。</w:t>
      </w:r>
      <w:r>
        <w:rPr>
          <w:rFonts w:hint="eastAsia" w:ascii="仿宋" w:hAnsi="仿宋" w:eastAsia="仿宋" w:cs="仿宋"/>
          <w:b w:val="0"/>
          <w:bCs w:val="0"/>
          <w:spacing w:val="6"/>
          <w:sz w:val="32"/>
          <w:szCs w:val="32"/>
        </w:rPr>
        <w:t>发挥地方各级有关部门主观能动性，</w:t>
      </w:r>
      <w:r>
        <w:rPr>
          <w:rFonts w:hint="eastAsia" w:ascii="仿宋" w:hAnsi="仿宋" w:eastAsia="仿宋" w:cs="仿宋"/>
          <w:b w:val="0"/>
          <w:bCs w:val="0"/>
          <w:sz w:val="32"/>
          <w:szCs w:val="32"/>
        </w:rPr>
        <w:t>落实新能源建设过程中相关手续、审批办理细则，按照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谁审批、谁监管，谁主管、谁监管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的原则，压实各级</w:t>
      </w:r>
      <w:r>
        <w:rPr>
          <w:rFonts w:hint="eastAsia" w:ascii="仿宋" w:hAnsi="仿宋" w:eastAsia="仿宋" w:cs="仿宋"/>
          <w:b w:val="0"/>
          <w:bCs w:val="0"/>
          <w:sz w:val="32"/>
          <w:szCs w:val="32"/>
          <w:lang w:eastAsia="zh-CN"/>
        </w:rPr>
        <w:t>发展改革</w:t>
      </w:r>
      <w:r>
        <w:rPr>
          <w:rFonts w:hint="eastAsia" w:ascii="仿宋" w:hAnsi="仿宋" w:eastAsia="仿宋" w:cs="仿宋"/>
          <w:b w:val="0"/>
          <w:bCs w:val="0"/>
          <w:sz w:val="32"/>
          <w:szCs w:val="32"/>
        </w:rPr>
        <w:t>、工</w:t>
      </w:r>
      <w:r>
        <w:rPr>
          <w:rFonts w:hint="eastAsia" w:ascii="仿宋" w:hAnsi="仿宋" w:eastAsia="仿宋" w:cs="仿宋"/>
          <w:b w:val="0"/>
          <w:bCs w:val="0"/>
          <w:sz w:val="32"/>
          <w:szCs w:val="32"/>
          <w:lang w:eastAsia="zh-CN"/>
        </w:rPr>
        <w:t>业和信息化</w:t>
      </w:r>
      <w:r>
        <w:rPr>
          <w:rFonts w:hint="eastAsia" w:ascii="仿宋" w:hAnsi="仿宋" w:eastAsia="仿宋" w:cs="仿宋"/>
          <w:b w:val="0"/>
          <w:bCs w:val="0"/>
          <w:sz w:val="32"/>
          <w:szCs w:val="32"/>
        </w:rPr>
        <w:t>、自然资源、</w:t>
      </w:r>
      <w:r>
        <w:rPr>
          <w:rFonts w:hint="eastAsia" w:ascii="仿宋" w:hAnsi="仿宋" w:eastAsia="仿宋" w:cs="仿宋"/>
          <w:b w:val="0"/>
          <w:bCs w:val="0"/>
          <w:spacing w:val="6"/>
          <w:sz w:val="32"/>
          <w:szCs w:val="32"/>
        </w:rPr>
        <w:t>生态环境、林草、能源等有关部门</w:t>
      </w:r>
      <w:r>
        <w:rPr>
          <w:rFonts w:hint="eastAsia" w:ascii="仿宋" w:hAnsi="仿宋" w:eastAsia="仿宋" w:cs="仿宋"/>
          <w:b w:val="0"/>
          <w:bCs w:val="0"/>
          <w:spacing w:val="6"/>
          <w:sz w:val="32"/>
          <w:szCs w:val="32"/>
          <w:lang w:eastAsia="zh-CN"/>
        </w:rPr>
        <w:t>的</w:t>
      </w:r>
      <w:r>
        <w:rPr>
          <w:rFonts w:hint="eastAsia" w:ascii="仿宋" w:hAnsi="仿宋" w:eastAsia="仿宋" w:cs="仿宋"/>
          <w:b w:val="0"/>
          <w:bCs w:val="0"/>
          <w:spacing w:val="6"/>
          <w:sz w:val="32"/>
          <w:szCs w:val="32"/>
        </w:rPr>
        <w:t>责任，</w:t>
      </w:r>
      <w:r>
        <w:rPr>
          <w:rFonts w:hint="eastAsia" w:ascii="仿宋" w:hAnsi="仿宋" w:eastAsia="仿宋" w:cs="仿宋"/>
          <w:b w:val="0"/>
          <w:bCs w:val="0"/>
          <w:sz w:val="32"/>
          <w:szCs w:val="32"/>
        </w:rPr>
        <w:t>认真履行审批和后续监管职责，保障项目平稳落地。</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79" w:name="_GoBack"/>
      <w:bookmarkEnd w:id="79"/>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b/>
          <w:bCs/>
        </w:rPr>
      </w:pPr>
      <w:bookmarkStart w:id="77" w:name="二维条码"/>
      <w:bookmarkEnd w:id="77"/>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pStyle w:val="2"/>
        <w:rPr>
          <w:rFonts w:hint="eastAsia"/>
        </w:rPr>
      </w:pPr>
    </w:p>
    <w:p>
      <w:pPr>
        <w:pStyle w:val="2"/>
        <w:rPr>
          <w:rFonts w:hint="eastAsia"/>
        </w:rPr>
      </w:pPr>
    </w:p>
    <w:tbl>
      <w:tblPr>
        <w:tblStyle w:val="10"/>
        <w:tblW w:w="8963"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6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c>
          <w:tcPr>
            <w:tcW w:w="896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210" w:rightChars="100" w:firstLine="280" w:firstLineChars="100"/>
              <w:textAlignment w:val="auto"/>
              <w:rPr>
                <w:rFonts w:hint="eastAsia" w:ascii="仿宋" w:hAnsi="仿宋" w:eastAsia="仿宋" w:cs="仿宋"/>
                <w:sz w:val="28"/>
              </w:rPr>
            </w:pPr>
            <w:r>
              <w:rPr>
                <w:rFonts w:hint="eastAsia" w:ascii="仿宋" w:hAnsi="仿宋" w:eastAsia="仿宋" w:cs="仿宋"/>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17" w:leftChars="532" w:right="210" w:rightChars="100" w:firstLine="0" w:firstLineChars="0"/>
              <w:textAlignment w:val="auto"/>
              <w:rPr>
                <w:rFonts w:hint="eastAsia" w:ascii="仿宋" w:hAnsi="仿宋" w:eastAsia="仿宋" w:cs="仿宋"/>
                <w:sz w:val="28"/>
              </w:rPr>
            </w:pPr>
            <w:r>
              <w:rPr>
                <w:rFonts w:hint="eastAsia" w:ascii="仿宋" w:hAnsi="仿宋" w:eastAsia="仿宋" w:cs="仿宋"/>
                <w:sz w:val="28"/>
              </w:rPr>
              <w:t>自治区人大常委会办公厅、政协办公厅，</w:t>
            </w:r>
            <w:r>
              <w:rPr>
                <w:rFonts w:hint="eastAsia" w:ascii="仿宋" w:hAnsi="仿宋" w:eastAsia="仿宋" w:cs="仿宋"/>
                <w:sz w:val="28"/>
                <w:lang w:eastAsia="zh-CN"/>
              </w:rPr>
              <w:t>自治区监委，自治区</w:t>
            </w:r>
            <w:r>
              <w:rPr>
                <w:rFonts w:hint="eastAsia" w:ascii="仿宋" w:hAnsi="仿宋" w:eastAsia="仿宋" w:cs="仿宋"/>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right="210" w:rightChars="100" w:firstLine="1120" w:firstLineChars="400"/>
              <w:textAlignment w:val="auto"/>
              <w:rPr>
                <w:rFonts w:hint="eastAsia" w:ascii="仿宋" w:hAnsi="仿宋" w:eastAsia="仿宋" w:cs="仿宋"/>
                <w:sz w:val="28"/>
              </w:rPr>
            </w:pPr>
            <w:r>
              <w:rPr>
                <w:rFonts w:hint="eastAsia" w:ascii="仿宋" w:hAnsi="仿宋" w:eastAsia="仿宋" w:cs="仿宋"/>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63" w:type="dxa"/>
            <w:noWrap w:val="0"/>
            <w:vAlign w:val="top"/>
          </w:tcPr>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仿宋" w:hAnsi="仿宋" w:eastAsia="仿宋" w:cs="仿宋"/>
                <w:sz w:val="28"/>
              </w:rPr>
            </w:pPr>
            <w:r>
              <w:rPr>
                <w:rFonts w:hint="eastAsia" w:ascii="仿宋" w:hAnsi="仿宋" w:eastAsia="仿宋" w:cs="仿宋"/>
                <w:sz w:val="28"/>
              </w:rPr>
              <w:t>内蒙古自治区人民政府办公厅文电处      202</w:t>
            </w:r>
            <w:r>
              <w:rPr>
                <w:rFonts w:hint="eastAsia" w:ascii="仿宋" w:hAnsi="仿宋" w:eastAsia="仿宋" w:cs="仿宋"/>
                <w:sz w:val="28"/>
                <w:lang w:val="en-US" w:eastAsia="zh-CN"/>
              </w:rPr>
              <w:t>3</w:t>
            </w:r>
            <w:r>
              <w:rPr>
                <w:rFonts w:hint="eastAsia" w:ascii="仿宋" w:hAnsi="仿宋" w:eastAsia="仿宋" w:cs="仿宋"/>
                <w:sz w:val="28"/>
              </w:rPr>
              <w:t>年</w:t>
            </w:r>
            <w:r>
              <w:rPr>
                <w:rFonts w:hint="eastAsia" w:ascii="仿宋" w:hAnsi="仿宋" w:eastAsia="仿宋" w:cs="仿宋"/>
                <w:sz w:val="28"/>
                <w:lang w:val="en-US" w:eastAsia="zh-CN"/>
              </w:rPr>
              <w:t>10</w:t>
            </w:r>
            <w:r>
              <w:rPr>
                <w:rFonts w:hint="eastAsia" w:ascii="仿宋" w:hAnsi="仿宋" w:eastAsia="仿宋" w:cs="仿宋"/>
                <w:sz w:val="28"/>
              </w:rPr>
              <w:t>月</w:t>
            </w:r>
            <w:r>
              <w:rPr>
                <w:rFonts w:hint="eastAsia" w:ascii="仿宋" w:hAnsi="仿宋" w:eastAsia="仿宋" w:cs="仿宋"/>
                <w:sz w:val="28"/>
                <w:lang w:val="en-US" w:eastAsia="zh-CN"/>
              </w:rPr>
              <w:t>27</w:t>
            </w:r>
            <w:r>
              <w:rPr>
                <w:rFonts w:hint="eastAsia" w:ascii="仿宋" w:hAnsi="仿宋" w:eastAsia="仿宋" w:cs="仿宋"/>
                <w:spacing w:val="6"/>
                <w:sz w:val="28"/>
              </w:rPr>
              <w:t>日印发</w:t>
            </w:r>
          </w:p>
        </w:tc>
      </w:tr>
    </w:tbl>
    <w:p>
      <w:pPr>
        <w:pStyle w:val="6"/>
        <w:keepNext w:val="0"/>
        <w:keepLines w:val="0"/>
        <w:pageBreakBefore w:val="0"/>
        <w:widowControl w:val="0"/>
        <w:tabs>
          <w:tab w:val="left" w:pos="7560"/>
        </w:tabs>
        <w:kinsoku/>
        <w:wordWrap w:val="0"/>
        <w:overflowPunct/>
        <w:topLinePunct w:val="0"/>
        <w:autoSpaceDE/>
        <w:autoSpaceDN/>
        <w:bidi w:val="0"/>
        <w:adjustRightInd/>
        <w:snapToGrid/>
        <w:spacing w:line="20" w:lineRule="exact"/>
        <w:ind w:left="0" w:leftChars="0" w:firstLine="0" w:firstLineChars="0"/>
        <w:jc w:val="both"/>
        <w:textAlignment w:val="auto"/>
        <w:rPr>
          <w:rFonts w:hint="eastAsia" w:ascii="黑体" w:eastAsia="黑体"/>
          <w:sz w:val="32"/>
        </w:rPr>
      </w:pPr>
      <w:bookmarkStart w:id="78" w:name="成文日期"/>
      <w:bookmarkEnd w:id="78"/>
    </w:p>
    <w:p>
      <w:pPr>
        <w:spacing w:line="20" w:lineRule="exact"/>
        <w:rPr>
          <w:rFonts w:hint="eastAsia"/>
        </w:rPr>
      </w:pPr>
      <w:r>
        <w:rPr>
          <w:rFonts w:hint="eastAsia" w:eastAsia="宋体"/>
          <w:sz w:val="52"/>
          <w:szCs w:val="52"/>
          <w:lang w:eastAsia="zh-CN"/>
        </w:rPr>
        <w:drawing>
          <wp:anchor distT="0" distB="0" distL="114300" distR="114300" simplePos="0" relativeHeight="251658240" behindDoc="1" locked="0" layoutInCell="1" allowOverlap="1">
            <wp:simplePos x="0" y="0"/>
            <wp:positionH relativeFrom="column">
              <wp:posOffset>3409950</wp:posOffset>
            </wp:positionH>
            <wp:positionV relativeFrom="paragraph">
              <wp:posOffset>111125</wp:posOffset>
            </wp:positionV>
            <wp:extent cx="1800225" cy="431800"/>
            <wp:effectExtent l="0" t="0" r="9525" b="6350"/>
            <wp:wrapNone/>
            <wp:docPr id="1" name="图片 5" descr="20231029142911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20231029142911_7056"/>
                    <pic:cNvPicPr>
                      <a:picLocks noChangeAspect="1"/>
                    </pic:cNvPicPr>
                  </pic:nvPicPr>
                  <pic:blipFill>
                    <a:blip r:embed="rId8"/>
                    <a:stretch>
                      <a:fillRect/>
                    </a:stretch>
                  </pic:blipFill>
                  <pic:spPr>
                    <a:xfrm>
                      <a:off x="0" y="0"/>
                      <a:ext cx="1800225" cy="431800"/>
                    </a:xfrm>
                    <a:prstGeom prst="rect">
                      <a:avLst/>
                    </a:prstGeom>
                    <a:noFill/>
                    <a:ln>
                      <a:noFill/>
                    </a:ln>
                  </pic:spPr>
                </pic:pic>
              </a:graphicData>
            </a:graphic>
          </wp:anchor>
        </w:drawing>
      </w:r>
    </w:p>
    <w:sectPr>
      <w:headerReference r:id="rId3" w:type="default"/>
      <w:footerReference r:id="rId5" w:type="default"/>
      <w:headerReference r:id="rId4" w:type="even"/>
      <w:footerReference r:id="rId6" w:type="even"/>
      <w:pgSz w:w="11906" w:h="16838"/>
      <w:pgMar w:top="2098" w:right="1474" w:bottom="1701" w:left="1474" w:header="851" w:footer="992"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方正小标宋_GBK">
    <w:altName w:val="微软雅黑"/>
    <w:panose1 w:val="03000502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675" w:y="-503"/>
      <w:rPr>
        <w:rStyle w:val="13"/>
        <w:rFonts w:hint="eastAsia" w:ascii="宋体" w:hAnsi="宋体"/>
        <w:sz w:val="28"/>
        <w:szCs w:val="28"/>
      </w:rPr>
    </w:pP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lang/>
      </w:rPr>
      <w:t>- 1 -</w:t>
    </w:r>
    <w:r>
      <w:rPr>
        <w:rFonts w:hint="eastAsia" w:ascii="宋体" w:hAnsi="宋体"/>
        <w:sz w:val="28"/>
        <w:szCs w:val="28"/>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486" w:y="-458"/>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- 2 -</w:t>
    </w:r>
    <w:r>
      <w:rPr>
        <w:rFonts w:ascii="宋体" w:hAnsi="宋体"/>
        <w:sz w:val="28"/>
        <w:szCs w:val="28"/>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B"/>
    <w:rsid w:val="00000BC8"/>
    <w:rsid w:val="00000D35"/>
    <w:rsid w:val="00000E8A"/>
    <w:rsid w:val="00001A5E"/>
    <w:rsid w:val="000049F3"/>
    <w:rsid w:val="00007708"/>
    <w:rsid w:val="0001025F"/>
    <w:rsid w:val="00010E72"/>
    <w:rsid w:val="00010FBD"/>
    <w:rsid w:val="000119C0"/>
    <w:rsid w:val="000134B5"/>
    <w:rsid w:val="000148CC"/>
    <w:rsid w:val="00014A7C"/>
    <w:rsid w:val="0001572E"/>
    <w:rsid w:val="0001671F"/>
    <w:rsid w:val="0001751F"/>
    <w:rsid w:val="00017973"/>
    <w:rsid w:val="00017C56"/>
    <w:rsid w:val="00017C8E"/>
    <w:rsid w:val="00017F0C"/>
    <w:rsid w:val="00021290"/>
    <w:rsid w:val="000228A4"/>
    <w:rsid w:val="000234C0"/>
    <w:rsid w:val="00024FC9"/>
    <w:rsid w:val="00025291"/>
    <w:rsid w:val="0003004C"/>
    <w:rsid w:val="000305B6"/>
    <w:rsid w:val="00031020"/>
    <w:rsid w:val="000332B8"/>
    <w:rsid w:val="00036CC9"/>
    <w:rsid w:val="00037A1D"/>
    <w:rsid w:val="0004119F"/>
    <w:rsid w:val="00041495"/>
    <w:rsid w:val="00043109"/>
    <w:rsid w:val="00043BA4"/>
    <w:rsid w:val="00045126"/>
    <w:rsid w:val="00045E76"/>
    <w:rsid w:val="00047456"/>
    <w:rsid w:val="00047737"/>
    <w:rsid w:val="0005120B"/>
    <w:rsid w:val="00053149"/>
    <w:rsid w:val="00055304"/>
    <w:rsid w:val="00055C21"/>
    <w:rsid w:val="00056556"/>
    <w:rsid w:val="00060597"/>
    <w:rsid w:val="00060CE0"/>
    <w:rsid w:val="000615CF"/>
    <w:rsid w:val="0006347A"/>
    <w:rsid w:val="000671EE"/>
    <w:rsid w:val="00070196"/>
    <w:rsid w:val="000701C3"/>
    <w:rsid w:val="00071DE3"/>
    <w:rsid w:val="00071E83"/>
    <w:rsid w:val="0007324B"/>
    <w:rsid w:val="00074623"/>
    <w:rsid w:val="00074AAB"/>
    <w:rsid w:val="00076F96"/>
    <w:rsid w:val="0008038C"/>
    <w:rsid w:val="00082970"/>
    <w:rsid w:val="0008397E"/>
    <w:rsid w:val="00090E87"/>
    <w:rsid w:val="00090EB2"/>
    <w:rsid w:val="00091065"/>
    <w:rsid w:val="00097E64"/>
    <w:rsid w:val="000A1E68"/>
    <w:rsid w:val="000A2307"/>
    <w:rsid w:val="000A26F8"/>
    <w:rsid w:val="000A3DA4"/>
    <w:rsid w:val="000A51DB"/>
    <w:rsid w:val="000A7F88"/>
    <w:rsid w:val="000B0241"/>
    <w:rsid w:val="000B182B"/>
    <w:rsid w:val="000B2C2B"/>
    <w:rsid w:val="000B318D"/>
    <w:rsid w:val="000B483E"/>
    <w:rsid w:val="000B76CD"/>
    <w:rsid w:val="000C0507"/>
    <w:rsid w:val="000D14CA"/>
    <w:rsid w:val="000D1918"/>
    <w:rsid w:val="000D2276"/>
    <w:rsid w:val="000D33FD"/>
    <w:rsid w:val="000D46E6"/>
    <w:rsid w:val="000D4B7C"/>
    <w:rsid w:val="000E189F"/>
    <w:rsid w:val="000E242A"/>
    <w:rsid w:val="000E2DE0"/>
    <w:rsid w:val="000E4A4D"/>
    <w:rsid w:val="000E5531"/>
    <w:rsid w:val="000E6931"/>
    <w:rsid w:val="000E7F78"/>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5C3C"/>
    <w:rsid w:val="001166E7"/>
    <w:rsid w:val="00117691"/>
    <w:rsid w:val="0012067D"/>
    <w:rsid w:val="00120FA6"/>
    <w:rsid w:val="00121523"/>
    <w:rsid w:val="00121A80"/>
    <w:rsid w:val="0012298D"/>
    <w:rsid w:val="00122EA1"/>
    <w:rsid w:val="00124296"/>
    <w:rsid w:val="001243C4"/>
    <w:rsid w:val="001244C6"/>
    <w:rsid w:val="0012798F"/>
    <w:rsid w:val="00127D04"/>
    <w:rsid w:val="001303D3"/>
    <w:rsid w:val="001316F8"/>
    <w:rsid w:val="00132688"/>
    <w:rsid w:val="00132E64"/>
    <w:rsid w:val="001332BC"/>
    <w:rsid w:val="001340AD"/>
    <w:rsid w:val="0013461A"/>
    <w:rsid w:val="00134CC2"/>
    <w:rsid w:val="001363A6"/>
    <w:rsid w:val="00137385"/>
    <w:rsid w:val="00140625"/>
    <w:rsid w:val="00141687"/>
    <w:rsid w:val="00142107"/>
    <w:rsid w:val="00143758"/>
    <w:rsid w:val="00143CBE"/>
    <w:rsid w:val="001447A2"/>
    <w:rsid w:val="00145C0B"/>
    <w:rsid w:val="00145D2E"/>
    <w:rsid w:val="00146D53"/>
    <w:rsid w:val="0014748A"/>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601"/>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69"/>
    <w:rsid w:val="001D62F3"/>
    <w:rsid w:val="001D65F8"/>
    <w:rsid w:val="001E1712"/>
    <w:rsid w:val="001E17CB"/>
    <w:rsid w:val="001E3AE1"/>
    <w:rsid w:val="001E4564"/>
    <w:rsid w:val="001E463E"/>
    <w:rsid w:val="001E48FC"/>
    <w:rsid w:val="001E51E8"/>
    <w:rsid w:val="001E5754"/>
    <w:rsid w:val="001E5965"/>
    <w:rsid w:val="001E59EC"/>
    <w:rsid w:val="001E5A4A"/>
    <w:rsid w:val="001E7E23"/>
    <w:rsid w:val="001F077E"/>
    <w:rsid w:val="001F275C"/>
    <w:rsid w:val="001F4B62"/>
    <w:rsid w:val="001F53DE"/>
    <w:rsid w:val="002014F1"/>
    <w:rsid w:val="002016DC"/>
    <w:rsid w:val="00202305"/>
    <w:rsid w:val="002037DD"/>
    <w:rsid w:val="00203FE2"/>
    <w:rsid w:val="002048E4"/>
    <w:rsid w:val="00205C6F"/>
    <w:rsid w:val="00210E23"/>
    <w:rsid w:val="002112BA"/>
    <w:rsid w:val="002116D0"/>
    <w:rsid w:val="00211B40"/>
    <w:rsid w:val="0021430F"/>
    <w:rsid w:val="00216979"/>
    <w:rsid w:val="0022010B"/>
    <w:rsid w:val="00222BE8"/>
    <w:rsid w:val="00225BC5"/>
    <w:rsid w:val="00226765"/>
    <w:rsid w:val="00227C5A"/>
    <w:rsid w:val="002301CC"/>
    <w:rsid w:val="00230DF7"/>
    <w:rsid w:val="00233B9B"/>
    <w:rsid w:val="00233CA4"/>
    <w:rsid w:val="002370E6"/>
    <w:rsid w:val="00237D8D"/>
    <w:rsid w:val="00243573"/>
    <w:rsid w:val="002438BD"/>
    <w:rsid w:val="00244F58"/>
    <w:rsid w:val="002502FA"/>
    <w:rsid w:val="002508F6"/>
    <w:rsid w:val="00251D19"/>
    <w:rsid w:val="00253497"/>
    <w:rsid w:val="00253505"/>
    <w:rsid w:val="002537D8"/>
    <w:rsid w:val="00253D8D"/>
    <w:rsid w:val="00254C91"/>
    <w:rsid w:val="0026009A"/>
    <w:rsid w:val="00260B18"/>
    <w:rsid w:val="00261C1B"/>
    <w:rsid w:val="00263BB4"/>
    <w:rsid w:val="00264B5A"/>
    <w:rsid w:val="00265082"/>
    <w:rsid w:val="00265F33"/>
    <w:rsid w:val="002701FE"/>
    <w:rsid w:val="00271599"/>
    <w:rsid w:val="00271714"/>
    <w:rsid w:val="002750B4"/>
    <w:rsid w:val="002755E6"/>
    <w:rsid w:val="00277086"/>
    <w:rsid w:val="0027732C"/>
    <w:rsid w:val="00284880"/>
    <w:rsid w:val="00285AC4"/>
    <w:rsid w:val="00286092"/>
    <w:rsid w:val="0028627F"/>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B787F"/>
    <w:rsid w:val="002C0358"/>
    <w:rsid w:val="002C048B"/>
    <w:rsid w:val="002C1222"/>
    <w:rsid w:val="002C2F22"/>
    <w:rsid w:val="002C409D"/>
    <w:rsid w:val="002C41C0"/>
    <w:rsid w:val="002C4FC3"/>
    <w:rsid w:val="002C5B09"/>
    <w:rsid w:val="002C737F"/>
    <w:rsid w:val="002D063C"/>
    <w:rsid w:val="002D22D4"/>
    <w:rsid w:val="002D2CF6"/>
    <w:rsid w:val="002D31DC"/>
    <w:rsid w:val="002D3F3C"/>
    <w:rsid w:val="002D4032"/>
    <w:rsid w:val="002D508A"/>
    <w:rsid w:val="002D5A5E"/>
    <w:rsid w:val="002D7462"/>
    <w:rsid w:val="002E0919"/>
    <w:rsid w:val="002E2F22"/>
    <w:rsid w:val="002E3CC3"/>
    <w:rsid w:val="002E55D9"/>
    <w:rsid w:val="002F10A8"/>
    <w:rsid w:val="002F19A7"/>
    <w:rsid w:val="002F5BA9"/>
    <w:rsid w:val="00300F07"/>
    <w:rsid w:val="00301AC3"/>
    <w:rsid w:val="00302690"/>
    <w:rsid w:val="00302982"/>
    <w:rsid w:val="00303418"/>
    <w:rsid w:val="00307579"/>
    <w:rsid w:val="00316104"/>
    <w:rsid w:val="00317237"/>
    <w:rsid w:val="00321960"/>
    <w:rsid w:val="00322E30"/>
    <w:rsid w:val="00324C04"/>
    <w:rsid w:val="003340DF"/>
    <w:rsid w:val="00334343"/>
    <w:rsid w:val="003347A0"/>
    <w:rsid w:val="00335F39"/>
    <w:rsid w:val="00336E1D"/>
    <w:rsid w:val="00336F88"/>
    <w:rsid w:val="00340FF0"/>
    <w:rsid w:val="00341A6E"/>
    <w:rsid w:val="00342CC3"/>
    <w:rsid w:val="00342E59"/>
    <w:rsid w:val="00343E0C"/>
    <w:rsid w:val="00344DA3"/>
    <w:rsid w:val="0034576B"/>
    <w:rsid w:val="00350F9A"/>
    <w:rsid w:val="00351987"/>
    <w:rsid w:val="00351F4C"/>
    <w:rsid w:val="00352A64"/>
    <w:rsid w:val="00352E98"/>
    <w:rsid w:val="0035334E"/>
    <w:rsid w:val="003557E4"/>
    <w:rsid w:val="00361A29"/>
    <w:rsid w:val="0036715B"/>
    <w:rsid w:val="00367E4A"/>
    <w:rsid w:val="00371465"/>
    <w:rsid w:val="0037414E"/>
    <w:rsid w:val="0037427E"/>
    <w:rsid w:val="00375606"/>
    <w:rsid w:val="00381A7A"/>
    <w:rsid w:val="00385438"/>
    <w:rsid w:val="00387494"/>
    <w:rsid w:val="003878A5"/>
    <w:rsid w:val="00390619"/>
    <w:rsid w:val="00390C49"/>
    <w:rsid w:val="0039202C"/>
    <w:rsid w:val="00392B94"/>
    <w:rsid w:val="00393F4B"/>
    <w:rsid w:val="00394377"/>
    <w:rsid w:val="003948FC"/>
    <w:rsid w:val="00395241"/>
    <w:rsid w:val="003978C8"/>
    <w:rsid w:val="003A0463"/>
    <w:rsid w:val="003A0C24"/>
    <w:rsid w:val="003A2485"/>
    <w:rsid w:val="003A264D"/>
    <w:rsid w:val="003A31A0"/>
    <w:rsid w:val="003A326C"/>
    <w:rsid w:val="003A3696"/>
    <w:rsid w:val="003A42FA"/>
    <w:rsid w:val="003A5841"/>
    <w:rsid w:val="003A6755"/>
    <w:rsid w:val="003B1AA3"/>
    <w:rsid w:val="003B27EB"/>
    <w:rsid w:val="003B32B0"/>
    <w:rsid w:val="003B59D9"/>
    <w:rsid w:val="003B789B"/>
    <w:rsid w:val="003C1EB9"/>
    <w:rsid w:val="003C3249"/>
    <w:rsid w:val="003C3EA0"/>
    <w:rsid w:val="003C419C"/>
    <w:rsid w:val="003C41EC"/>
    <w:rsid w:val="003C4942"/>
    <w:rsid w:val="003D01EF"/>
    <w:rsid w:val="003D14CC"/>
    <w:rsid w:val="003D3B34"/>
    <w:rsid w:val="003D46AE"/>
    <w:rsid w:val="003D6689"/>
    <w:rsid w:val="003E31CE"/>
    <w:rsid w:val="003E323B"/>
    <w:rsid w:val="003E39D4"/>
    <w:rsid w:val="003E549A"/>
    <w:rsid w:val="003E5A89"/>
    <w:rsid w:val="003E7966"/>
    <w:rsid w:val="003F0B67"/>
    <w:rsid w:val="003F1F24"/>
    <w:rsid w:val="003F595E"/>
    <w:rsid w:val="003F6574"/>
    <w:rsid w:val="003F6E09"/>
    <w:rsid w:val="003F728E"/>
    <w:rsid w:val="004001EE"/>
    <w:rsid w:val="00402EDB"/>
    <w:rsid w:val="004100FD"/>
    <w:rsid w:val="0041232A"/>
    <w:rsid w:val="004125FC"/>
    <w:rsid w:val="00412AD9"/>
    <w:rsid w:val="00415492"/>
    <w:rsid w:val="004165CF"/>
    <w:rsid w:val="004178C8"/>
    <w:rsid w:val="00423C35"/>
    <w:rsid w:val="00424AB3"/>
    <w:rsid w:val="004278D4"/>
    <w:rsid w:val="00430D45"/>
    <w:rsid w:val="004316DA"/>
    <w:rsid w:val="00431DA3"/>
    <w:rsid w:val="00432A0C"/>
    <w:rsid w:val="00433D12"/>
    <w:rsid w:val="00433DE5"/>
    <w:rsid w:val="00437A54"/>
    <w:rsid w:val="00442031"/>
    <w:rsid w:val="004443C8"/>
    <w:rsid w:val="0044481F"/>
    <w:rsid w:val="00444DA4"/>
    <w:rsid w:val="004454F7"/>
    <w:rsid w:val="00450079"/>
    <w:rsid w:val="004504E7"/>
    <w:rsid w:val="00452779"/>
    <w:rsid w:val="00452C53"/>
    <w:rsid w:val="0045373C"/>
    <w:rsid w:val="00453ABE"/>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5C7D"/>
    <w:rsid w:val="00496CF3"/>
    <w:rsid w:val="00496D57"/>
    <w:rsid w:val="00496E34"/>
    <w:rsid w:val="004A135E"/>
    <w:rsid w:val="004A373F"/>
    <w:rsid w:val="004A464E"/>
    <w:rsid w:val="004A4859"/>
    <w:rsid w:val="004B0832"/>
    <w:rsid w:val="004B1D23"/>
    <w:rsid w:val="004B5CC9"/>
    <w:rsid w:val="004B610B"/>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2C39"/>
    <w:rsid w:val="00513E02"/>
    <w:rsid w:val="005141F0"/>
    <w:rsid w:val="00514727"/>
    <w:rsid w:val="0051691A"/>
    <w:rsid w:val="00520B20"/>
    <w:rsid w:val="005216DB"/>
    <w:rsid w:val="00522BE1"/>
    <w:rsid w:val="00525134"/>
    <w:rsid w:val="00527055"/>
    <w:rsid w:val="00527860"/>
    <w:rsid w:val="005302E8"/>
    <w:rsid w:val="005355C1"/>
    <w:rsid w:val="0053777E"/>
    <w:rsid w:val="00537C60"/>
    <w:rsid w:val="005403BB"/>
    <w:rsid w:val="00540508"/>
    <w:rsid w:val="00541462"/>
    <w:rsid w:val="00544AD9"/>
    <w:rsid w:val="00545692"/>
    <w:rsid w:val="00545900"/>
    <w:rsid w:val="00547939"/>
    <w:rsid w:val="0055006E"/>
    <w:rsid w:val="005528A4"/>
    <w:rsid w:val="0055343F"/>
    <w:rsid w:val="005538B1"/>
    <w:rsid w:val="00555E12"/>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8533B"/>
    <w:rsid w:val="005903E6"/>
    <w:rsid w:val="005906A6"/>
    <w:rsid w:val="00590E74"/>
    <w:rsid w:val="00593B63"/>
    <w:rsid w:val="005A1F8D"/>
    <w:rsid w:val="005A5376"/>
    <w:rsid w:val="005A6087"/>
    <w:rsid w:val="005A67BB"/>
    <w:rsid w:val="005A740E"/>
    <w:rsid w:val="005B0120"/>
    <w:rsid w:val="005B0BCC"/>
    <w:rsid w:val="005B17C2"/>
    <w:rsid w:val="005B1BD7"/>
    <w:rsid w:val="005B2090"/>
    <w:rsid w:val="005B2A3B"/>
    <w:rsid w:val="005B2A9E"/>
    <w:rsid w:val="005B2AFE"/>
    <w:rsid w:val="005B39F8"/>
    <w:rsid w:val="005B3F4F"/>
    <w:rsid w:val="005C2B4E"/>
    <w:rsid w:val="005C5E3B"/>
    <w:rsid w:val="005C663F"/>
    <w:rsid w:val="005C79E2"/>
    <w:rsid w:val="005D07B3"/>
    <w:rsid w:val="005D1611"/>
    <w:rsid w:val="005D4A7B"/>
    <w:rsid w:val="005E0DCD"/>
    <w:rsid w:val="005E2824"/>
    <w:rsid w:val="005E3A81"/>
    <w:rsid w:val="005E5234"/>
    <w:rsid w:val="005E7F3F"/>
    <w:rsid w:val="005F29F1"/>
    <w:rsid w:val="005F38E6"/>
    <w:rsid w:val="005F6CAA"/>
    <w:rsid w:val="006019AF"/>
    <w:rsid w:val="00602DE5"/>
    <w:rsid w:val="0060451F"/>
    <w:rsid w:val="006049B5"/>
    <w:rsid w:val="00605106"/>
    <w:rsid w:val="006054BF"/>
    <w:rsid w:val="0060556C"/>
    <w:rsid w:val="00605FB9"/>
    <w:rsid w:val="006077DA"/>
    <w:rsid w:val="00613495"/>
    <w:rsid w:val="006138A9"/>
    <w:rsid w:val="00616699"/>
    <w:rsid w:val="006208B3"/>
    <w:rsid w:val="006217C9"/>
    <w:rsid w:val="006217CD"/>
    <w:rsid w:val="00622118"/>
    <w:rsid w:val="00622A7A"/>
    <w:rsid w:val="00623F3E"/>
    <w:rsid w:val="00626C25"/>
    <w:rsid w:val="00630C39"/>
    <w:rsid w:val="00632581"/>
    <w:rsid w:val="00633367"/>
    <w:rsid w:val="0063404D"/>
    <w:rsid w:val="00637C57"/>
    <w:rsid w:val="00640710"/>
    <w:rsid w:val="00642967"/>
    <w:rsid w:val="00643C82"/>
    <w:rsid w:val="0064774E"/>
    <w:rsid w:val="006502EE"/>
    <w:rsid w:val="006553E0"/>
    <w:rsid w:val="00655583"/>
    <w:rsid w:val="00655DAE"/>
    <w:rsid w:val="00657A43"/>
    <w:rsid w:val="00660860"/>
    <w:rsid w:val="00660BC7"/>
    <w:rsid w:val="0066177F"/>
    <w:rsid w:val="00661FD1"/>
    <w:rsid w:val="006631A6"/>
    <w:rsid w:val="006635EA"/>
    <w:rsid w:val="006639A9"/>
    <w:rsid w:val="006639DF"/>
    <w:rsid w:val="0066581C"/>
    <w:rsid w:val="00670F37"/>
    <w:rsid w:val="00671404"/>
    <w:rsid w:val="00674510"/>
    <w:rsid w:val="0067548C"/>
    <w:rsid w:val="0068029A"/>
    <w:rsid w:val="00684358"/>
    <w:rsid w:val="006855E5"/>
    <w:rsid w:val="00686D4F"/>
    <w:rsid w:val="00687BC5"/>
    <w:rsid w:val="00691763"/>
    <w:rsid w:val="0069233D"/>
    <w:rsid w:val="00695BA0"/>
    <w:rsid w:val="006A15F2"/>
    <w:rsid w:val="006A28D5"/>
    <w:rsid w:val="006A3076"/>
    <w:rsid w:val="006A3B57"/>
    <w:rsid w:val="006A4BE5"/>
    <w:rsid w:val="006A55AD"/>
    <w:rsid w:val="006A65EF"/>
    <w:rsid w:val="006B6188"/>
    <w:rsid w:val="006C492D"/>
    <w:rsid w:val="006C633F"/>
    <w:rsid w:val="006C6369"/>
    <w:rsid w:val="006C6893"/>
    <w:rsid w:val="006D2826"/>
    <w:rsid w:val="006D44DF"/>
    <w:rsid w:val="006D582C"/>
    <w:rsid w:val="006D6106"/>
    <w:rsid w:val="006E16EF"/>
    <w:rsid w:val="006E58B8"/>
    <w:rsid w:val="006E628F"/>
    <w:rsid w:val="006E7D08"/>
    <w:rsid w:val="006F0642"/>
    <w:rsid w:val="006F069F"/>
    <w:rsid w:val="006F0977"/>
    <w:rsid w:val="006F19A2"/>
    <w:rsid w:val="006F2782"/>
    <w:rsid w:val="006F320A"/>
    <w:rsid w:val="006F4AF1"/>
    <w:rsid w:val="006F6C03"/>
    <w:rsid w:val="006F6C39"/>
    <w:rsid w:val="006F793B"/>
    <w:rsid w:val="006F7A1E"/>
    <w:rsid w:val="007014BE"/>
    <w:rsid w:val="00704458"/>
    <w:rsid w:val="0070677A"/>
    <w:rsid w:val="00707093"/>
    <w:rsid w:val="00707748"/>
    <w:rsid w:val="00707A12"/>
    <w:rsid w:val="007103AB"/>
    <w:rsid w:val="007107BA"/>
    <w:rsid w:val="00710CE7"/>
    <w:rsid w:val="007149DD"/>
    <w:rsid w:val="0072093E"/>
    <w:rsid w:val="007227D3"/>
    <w:rsid w:val="00730BED"/>
    <w:rsid w:val="00730E7F"/>
    <w:rsid w:val="007327B6"/>
    <w:rsid w:val="00737112"/>
    <w:rsid w:val="007375F9"/>
    <w:rsid w:val="007377CC"/>
    <w:rsid w:val="007418CF"/>
    <w:rsid w:val="00742690"/>
    <w:rsid w:val="007443AD"/>
    <w:rsid w:val="00745BA7"/>
    <w:rsid w:val="00745F2F"/>
    <w:rsid w:val="007469D2"/>
    <w:rsid w:val="0075198B"/>
    <w:rsid w:val="007543DE"/>
    <w:rsid w:val="007566F0"/>
    <w:rsid w:val="00760780"/>
    <w:rsid w:val="00762C26"/>
    <w:rsid w:val="00763624"/>
    <w:rsid w:val="0076441E"/>
    <w:rsid w:val="0076657F"/>
    <w:rsid w:val="00766D83"/>
    <w:rsid w:val="00774B22"/>
    <w:rsid w:val="00777A09"/>
    <w:rsid w:val="007837F3"/>
    <w:rsid w:val="007904A7"/>
    <w:rsid w:val="00793C8B"/>
    <w:rsid w:val="00794C4E"/>
    <w:rsid w:val="00794DC0"/>
    <w:rsid w:val="007963A2"/>
    <w:rsid w:val="007A6F05"/>
    <w:rsid w:val="007B097B"/>
    <w:rsid w:val="007B24CB"/>
    <w:rsid w:val="007B2572"/>
    <w:rsid w:val="007B6642"/>
    <w:rsid w:val="007C0877"/>
    <w:rsid w:val="007C5CDC"/>
    <w:rsid w:val="007C6DEF"/>
    <w:rsid w:val="007C7C36"/>
    <w:rsid w:val="007D12E7"/>
    <w:rsid w:val="007D1C46"/>
    <w:rsid w:val="007D3097"/>
    <w:rsid w:val="007D340E"/>
    <w:rsid w:val="007D5A8A"/>
    <w:rsid w:val="007D62CA"/>
    <w:rsid w:val="007D66C2"/>
    <w:rsid w:val="007D765B"/>
    <w:rsid w:val="007E0BFD"/>
    <w:rsid w:val="007E158B"/>
    <w:rsid w:val="007E20CA"/>
    <w:rsid w:val="007F0201"/>
    <w:rsid w:val="007F042D"/>
    <w:rsid w:val="007F0737"/>
    <w:rsid w:val="007F0940"/>
    <w:rsid w:val="007F19AC"/>
    <w:rsid w:val="007F1E62"/>
    <w:rsid w:val="007F24F6"/>
    <w:rsid w:val="007F2A0D"/>
    <w:rsid w:val="007F2A7E"/>
    <w:rsid w:val="007F552B"/>
    <w:rsid w:val="007F63EC"/>
    <w:rsid w:val="00800C47"/>
    <w:rsid w:val="00801501"/>
    <w:rsid w:val="00803F1B"/>
    <w:rsid w:val="008056A7"/>
    <w:rsid w:val="00805852"/>
    <w:rsid w:val="00805B22"/>
    <w:rsid w:val="00810805"/>
    <w:rsid w:val="00810F55"/>
    <w:rsid w:val="00811A91"/>
    <w:rsid w:val="00811DF8"/>
    <w:rsid w:val="00814958"/>
    <w:rsid w:val="008149CF"/>
    <w:rsid w:val="00816CA5"/>
    <w:rsid w:val="00817FC3"/>
    <w:rsid w:val="00823E54"/>
    <w:rsid w:val="008244BB"/>
    <w:rsid w:val="00824A4E"/>
    <w:rsid w:val="008254E7"/>
    <w:rsid w:val="008326B8"/>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A7080"/>
    <w:rsid w:val="008A7D03"/>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D7229"/>
    <w:rsid w:val="008E1E2A"/>
    <w:rsid w:val="008E277B"/>
    <w:rsid w:val="008E3748"/>
    <w:rsid w:val="008E45DE"/>
    <w:rsid w:val="008E765D"/>
    <w:rsid w:val="008F3D25"/>
    <w:rsid w:val="008F733C"/>
    <w:rsid w:val="009003C9"/>
    <w:rsid w:val="00904292"/>
    <w:rsid w:val="00910626"/>
    <w:rsid w:val="00910AC9"/>
    <w:rsid w:val="0091236B"/>
    <w:rsid w:val="009135EF"/>
    <w:rsid w:val="009150AA"/>
    <w:rsid w:val="009167EA"/>
    <w:rsid w:val="00916E26"/>
    <w:rsid w:val="00917CF5"/>
    <w:rsid w:val="009203AD"/>
    <w:rsid w:val="00920BA7"/>
    <w:rsid w:val="00920D5A"/>
    <w:rsid w:val="00921D50"/>
    <w:rsid w:val="00923ABF"/>
    <w:rsid w:val="00924DD7"/>
    <w:rsid w:val="009257CF"/>
    <w:rsid w:val="00926D34"/>
    <w:rsid w:val="00926E93"/>
    <w:rsid w:val="00927FAF"/>
    <w:rsid w:val="0093066E"/>
    <w:rsid w:val="00930C66"/>
    <w:rsid w:val="00932131"/>
    <w:rsid w:val="00933AD4"/>
    <w:rsid w:val="00935D37"/>
    <w:rsid w:val="00936389"/>
    <w:rsid w:val="00940633"/>
    <w:rsid w:val="009413D6"/>
    <w:rsid w:val="009418C7"/>
    <w:rsid w:val="00942DC2"/>
    <w:rsid w:val="009433EF"/>
    <w:rsid w:val="00943566"/>
    <w:rsid w:val="00943770"/>
    <w:rsid w:val="0094465F"/>
    <w:rsid w:val="00947975"/>
    <w:rsid w:val="00956760"/>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96B"/>
    <w:rsid w:val="00985E2D"/>
    <w:rsid w:val="00990379"/>
    <w:rsid w:val="0099164F"/>
    <w:rsid w:val="00994467"/>
    <w:rsid w:val="00994538"/>
    <w:rsid w:val="00995057"/>
    <w:rsid w:val="0099782D"/>
    <w:rsid w:val="00997D7A"/>
    <w:rsid w:val="009A323D"/>
    <w:rsid w:val="009A477F"/>
    <w:rsid w:val="009A4D6E"/>
    <w:rsid w:val="009A54A9"/>
    <w:rsid w:val="009B08A3"/>
    <w:rsid w:val="009B0F62"/>
    <w:rsid w:val="009B4126"/>
    <w:rsid w:val="009B4573"/>
    <w:rsid w:val="009B5ABF"/>
    <w:rsid w:val="009B6906"/>
    <w:rsid w:val="009B7AF2"/>
    <w:rsid w:val="009B7E26"/>
    <w:rsid w:val="009C0344"/>
    <w:rsid w:val="009C0CFE"/>
    <w:rsid w:val="009C323E"/>
    <w:rsid w:val="009C3D15"/>
    <w:rsid w:val="009D16DF"/>
    <w:rsid w:val="009D1830"/>
    <w:rsid w:val="009D1AC9"/>
    <w:rsid w:val="009D1DF7"/>
    <w:rsid w:val="009D3B7A"/>
    <w:rsid w:val="009D417C"/>
    <w:rsid w:val="009D455E"/>
    <w:rsid w:val="009D7F8E"/>
    <w:rsid w:val="009E02D4"/>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1C15"/>
    <w:rsid w:val="00A3282B"/>
    <w:rsid w:val="00A3667B"/>
    <w:rsid w:val="00A41CDE"/>
    <w:rsid w:val="00A42678"/>
    <w:rsid w:val="00A44782"/>
    <w:rsid w:val="00A51056"/>
    <w:rsid w:val="00A52ADA"/>
    <w:rsid w:val="00A54A96"/>
    <w:rsid w:val="00A54C2D"/>
    <w:rsid w:val="00A55F01"/>
    <w:rsid w:val="00A5779D"/>
    <w:rsid w:val="00A62053"/>
    <w:rsid w:val="00A65D06"/>
    <w:rsid w:val="00A66B95"/>
    <w:rsid w:val="00A67E61"/>
    <w:rsid w:val="00A735DB"/>
    <w:rsid w:val="00A746B2"/>
    <w:rsid w:val="00A74FC4"/>
    <w:rsid w:val="00A763C1"/>
    <w:rsid w:val="00A776DB"/>
    <w:rsid w:val="00A8034A"/>
    <w:rsid w:val="00A81344"/>
    <w:rsid w:val="00A8144C"/>
    <w:rsid w:val="00A82198"/>
    <w:rsid w:val="00A85729"/>
    <w:rsid w:val="00A869B9"/>
    <w:rsid w:val="00A871E1"/>
    <w:rsid w:val="00A872AA"/>
    <w:rsid w:val="00A87303"/>
    <w:rsid w:val="00A925C8"/>
    <w:rsid w:val="00A92FAC"/>
    <w:rsid w:val="00A93C26"/>
    <w:rsid w:val="00A9486C"/>
    <w:rsid w:val="00A94FB8"/>
    <w:rsid w:val="00A96790"/>
    <w:rsid w:val="00AA07BD"/>
    <w:rsid w:val="00AA3212"/>
    <w:rsid w:val="00AA3545"/>
    <w:rsid w:val="00AA4BD1"/>
    <w:rsid w:val="00AA4F43"/>
    <w:rsid w:val="00AB27A7"/>
    <w:rsid w:val="00AB301E"/>
    <w:rsid w:val="00AB38D9"/>
    <w:rsid w:val="00AB71EF"/>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32D"/>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47D4"/>
    <w:rsid w:val="00B269DB"/>
    <w:rsid w:val="00B332D7"/>
    <w:rsid w:val="00B3342A"/>
    <w:rsid w:val="00B34CE7"/>
    <w:rsid w:val="00B40DCF"/>
    <w:rsid w:val="00B41574"/>
    <w:rsid w:val="00B43C7B"/>
    <w:rsid w:val="00B4489A"/>
    <w:rsid w:val="00B4656E"/>
    <w:rsid w:val="00B47AB4"/>
    <w:rsid w:val="00B509ED"/>
    <w:rsid w:val="00B5388B"/>
    <w:rsid w:val="00B54162"/>
    <w:rsid w:val="00B542D3"/>
    <w:rsid w:val="00B560B0"/>
    <w:rsid w:val="00B56A1E"/>
    <w:rsid w:val="00B57284"/>
    <w:rsid w:val="00B57DEF"/>
    <w:rsid w:val="00B6035B"/>
    <w:rsid w:val="00B64E58"/>
    <w:rsid w:val="00B666ED"/>
    <w:rsid w:val="00B706C7"/>
    <w:rsid w:val="00B70DED"/>
    <w:rsid w:val="00B713FA"/>
    <w:rsid w:val="00B71701"/>
    <w:rsid w:val="00B7317D"/>
    <w:rsid w:val="00B73533"/>
    <w:rsid w:val="00B73E35"/>
    <w:rsid w:val="00B76556"/>
    <w:rsid w:val="00B80656"/>
    <w:rsid w:val="00B836D5"/>
    <w:rsid w:val="00B840AB"/>
    <w:rsid w:val="00B84FE0"/>
    <w:rsid w:val="00B86D5C"/>
    <w:rsid w:val="00B90C4D"/>
    <w:rsid w:val="00B919AC"/>
    <w:rsid w:val="00B92C79"/>
    <w:rsid w:val="00B952EB"/>
    <w:rsid w:val="00B95CA8"/>
    <w:rsid w:val="00B96270"/>
    <w:rsid w:val="00B97680"/>
    <w:rsid w:val="00BA069E"/>
    <w:rsid w:val="00BA0EAF"/>
    <w:rsid w:val="00BA12FD"/>
    <w:rsid w:val="00BA5DE0"/>
    <w:rsid w:val="00BA69BB"/>
    <w:rsid w:val="00BA7956"/>
    <w:rsid w:val="00BA7B67"/>
    <w:rsid w:val="00BB143A"/>
    <w:rsid w:val="00BB4065"/>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5B01"/>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941"/>
    <w:rsid w:val="00C16B94"/>
    <w:rsid w:val="00C2004B"/>
    <w:rsid w:val="00C22AFA"/>
    <w:rsid w:val="00C24A34"/>
    <w:rsid w:val="00C275DE"/>
    <w:rsid w:val="00C344E7"/>
    <w:rsid w:val="00C34C2B"/>
    <w:rsid w:val="00C40F4C"/>
    <w:rsid w:val="00C471EE"/>
    <w:rsid w:val="00C5090D"/>
    <w:rsid w:val="00C516A1"/>
    <w:rsid w:val="00C531FF"/>
    <w:rsid w:val="00C53663"/>
    <w:rsid w:val="00C543E3"/>
    <w:rsid w:val="00C54463"/>
    <w:rsid w:val="00C625FA"/>
    <w:rsid w:val="00C632E3"/>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97C5A"/>
    <w:rsid w:val="00CA30D7"/>
    <w:rsid w:val="00CA4F90"/>
    <w:rsid w:val="00CA7846"/>
    <w:rsid w:val="00CB3AE8"/>
    <w:rsid w:val="00CB3EA3"/>
    <w:rsid w:val="00CB5357"/>
    <w:rsid w:val="00CB5D2C"/>
    <w:rsid w:val="00CC14E4"/>
    <w:rsid w:val="00CC2443"/>
    <w:rsid w:val="00CC7C4A"/>
    <w:rsid w:val="00CD1675"/>
    <w:rsid w:val="00CD399D"/>
    <w:rsid w:val="00CD42E0"/>
    <w:rsid w:val="00CD4642"/>
    <w:rsid w:val="00CD5308"/>
    <w:rsid w:val="00CE2266"/>
    <w:rsid w:val="00CE2BFD"/>
    <w:rsid w:val="00CE5E6E"/>
    <w:rsid w:val="00CE618F"/>
    <w:rsid w:val="00CE6508"/>
    <w:rsid w:val="00CF21D5"/>
    <w:rsid w:val="00CF61AB"/>
    <w:rsid w:val="00CF77E7"/>
    <w:rsid w:val="00CF7E4F"/>
    <w:rsid w:val="00D023FE"/>
    <w:rsid w:val="00D0487F"/>
    <w:rsid w:val="00D050A3"/>
    <w:rsid w:val="00D101F0"/>
    <w:rsid w:val="00D1209D"/>
    <w:rsid w:val="00D122FC"/>
    <w:rsid w:val="00D13AEB"/>
    <w:rsid w:val="00D14674"/>
    <w:rsid w:val="00D14BFB"/>
    <w:rsid w:val="00D17773"/>
    <w:rsid w:val="00D178DE"/>
    <w:rsid w:val="00D202DB"/>
    <w:rsid w:val="00D21A57"/>
    <w:rsid w:val="00D2210B"/>
    <w:rsid w:val="00D222CE"/>
    <w:rsid w:val="00D252DC"/>
    <w:rsid w:val="00D25B3D"/>
    <w:rsid w:val="00D3737D"/>
    <w:rsid w:val="00D37406"/>
    <w:rsid w:val="00D377BF"/>
    <w:rsid w:val="00D4207E"/>
    <w:rsid w:val="00D420D3"/>
    <w:rsid w:val="00D44386"/>
    <w:rsid w:val="00D444F3"/>
    <w:rsid w:val="00D45056"/>
    <w:rsid w:val="00D4554B"/>
    <w:rsid w:val="00D45C81"/>
    <w:rsid w:val="00D530AF"/>
    <w:rsid w:val="00D54B07"/>
    <w:rsid w:val="00D55776"/>
    <w:rsid w:val="00D57267"/>
    <w:rsid w:val="00D60772"/>
    <w:rsid w:val="00D60878"/>
    <w:rsid w:val="00D60B47"/>
    <w:rsid w:val="00D616FD"/>
    <w:rsid w:val="00D6281A"/>
    <w:rsid w:val="00D719F3"/>
    <w:rsid w:val="00D721B4"/>
    <w:rsid w:val="00D74F18"/>
    <w:rsid w:val="00D81C3D"/>
    <w:rsid w:val="00D82CD2"/>
    <w:rsid w:val="00D83463"/>
    <w:rsid w:val="00D83650"/>
    <w:rsid w:val="00D83EF6"/>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B7E0E"/>
    <w:rsid w:val="00DC0415"/>
    <w:rsid w:val="00DC0A4B"/>
    <w:rsid w:val="00DC0E9B"/>
    <w:rsid w:val="00DC1956"/>
    <w:rsid w:val="00DC21CC"/>
    <w:rsid w:val="00DC73F9"/>
    <w:rsid w:val="00DC7CCD"/>
    <w:rsid w:val="00DC7DB1"/>
    <w:rsid w:val="00DD19B7"/>
    <w:rsid w:val="00DD22BC"/>
    <w:rsid w:val="00DD5CC4"/>
    <w:rsid w:val="00DE279C"/>
    <w:rsid w:val="00DE52B4"/>
    <w:rsid w:val="00DF14B1"/>
    <w:rsid w:val="00DF1A59"/>
    <w:rsid w:val="00DF35B5"/>
    <w:rsid w:val="00DF5F69"/>
    <w:rsid w:val="00DF761C"/>
    <w:rsid w:val="00E0152C"/>
    <w:rsid w:val="00E05300"/>
    <w:rsid w:val="00E06B2D"/>
    <w:rsid w:val="00E06E06"/>
    <w:rsid w:val="00E108C6"/>
    <w:rsid w:val="00E115B5"/>
    <w:rsid w:val="00E11FB2"/>
    <w:rsid w:val="00E12664"/>
    <w:rsid w:val="00E1274D"/>
    <w:rsid w:val="00E13203"/>
    <w:rsid w:val="00E135BE"/>
    <w:rsid w:val="00E13CA2"/>
    <w:rsid w:val="00E14D5C"/>
    <w:rsid w:val="00E15AF3"/>
    <w:rsid w:val="00E161D1"/>
    <w:rsid w:val="00E16572"/>
    <w:rsid w:val="00E1689F"/>
    <w:rsid w:val="00E17254"/>
    <w:rsid w:val="00E212BE"/>
    <w:rsid w:val="00E21FA4"/>
    <w:rsid w:val="00E22D24"/>
    <w:rsid w:val="00E22F24"/>
    <w:rsid w:val="00E2382F"/>
    <w:rsid w:val="00E24E5D"/>
    <w:rsid w:val="00E3217C"/>
    <w:rsid w:val="00E36741"/>
    <w:rsid w:val="00E36C64"/>
    <w:rsid w:val="00E373AE"/>
    <w:rsid w:val="00E41597"/>
    <w:rsid w:val="00E4172D"/>
    <w:rsid w:val="00E4182E"/>
    <w:rsid w:val="00E431C7"/>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4CB8"/>
    <w:rsid w:val="00E85B61"/>
    <w:rsid w:val="00E87088"/>
    <w:rsid w:val="00E92D3E"/>
    <w:rsid w:val="00E941F7"/>
    <w:rsid w:val="00E94DAF"/>
    <w:rsid w:val="00E95E66"/>
    <w:rsid w:val="00E966C3"/>
    <w:rsid w:val="00E97D6F"/>
    <w:rsid w:val="00E97EB0"/>
    <w:rsid w:val="00EA42FC"/>
    <w:rsid w:val="00EA5D2D"/>
    <w:rsid w:val="00EB5381"/>
    <w:rsid w:val="00EB67DA"/>
    <w:rsid w:val="00EB7572"/>
    <w:rsid w:val="00EC14CE"/>
    <w:rsid w:val="00EC29B6"/>
    <w:rsid w:val="00EC6399"/>
    <w:rsid w:val="00EC7B6C"/>
    <w:rsid w:val="00ED00C1"/>
    <w:rsid w:val="00ED059D"/>
    <w:rsid w:val="00ED11DD"/>
    <w:rsid w:val="00ED3579"/>
    <w:rsid w:val="00ED36C0"/>
    <w:rsid w:val="00ED4603"/>
    <w:rsid w:val="00ED6EE5"/>
    <w:rsid w:val="00ED7EF1"/>
    <w:rsid w:val="00EE5149"/>
    <w:rsid w:val="00EE610D"/>
    <w:rsid w:val="00EE6A58"/>
    <w:rsid w:val="00EF59D3"/>
    <w:rsid w:val="00EF7BA0"/>
    <w:rsid w:val="00F00288"/>
    <w:rsid w:val="00F00B8E"/>
    <w:rsid w:val="00F03745"/>
    <w:rsid w:val="00F03899"/>
    <w:rsid w:val="00F10329"/>
    <w:rsid w:val="00F12718"/>
    <w:rsid w:val="00F12B22"/>
    <w:rsid w:val="00F13C9F"/>
    <w:rsid w:val="00F14EF6"/>
    <w:rsid w:val="00F16560"/>
    <w:rsid w:val="00F16E43"/>
    <w:rsid w:val="00F16FED"/>
    <w:rsid w:val="00F17570"/>
    <w:rsid w:val="00F2092F"/>
    <w:rsid w:val="00F20D57"/>
    <w:rsid w:val="00F22550"/>
    <w:rsid w:val="00F23334"/>
    <w:rsid w:val="00F2738E"/>
    <w:rsid w:val="00F3016E"/>
    <w:rsid w:val="00F3551A"/>
    <w:rsid w:val="00F379AA"/>
    <w:rsid w:val="00F44761"/>
    <w:rsid w:val="00F46AB3"/>
    <w:rsid w:val="00F46BFC"/>
    <w:rsid w:val="00F474B2"/>
    <w:rsid w:val="00F50369"/>
    <w:rsid w:val="00F50692"/>
    <w:rsid w:val="00F5173D"/>
    <w:rsid w:val="00F52276"/>
    <w:rsid w:val="00F565B8"/>
    <w:rsid w:val="00F575A7"/>
    <w:rsid w:val="00F57C98"/>
    <w:rsid w:val="00F60831"/>
    <w:rsid w:val="00F65AD3"/>
    <w:rsid w:val="00F70531"/>
    <w:rsid w:val="00F71128"/>
    <w:rsid w:val="00F71E53"/>
    <w:rsid w:val="00F72B8E"/>
    <w:rsid w:val="00F72D68"/>
    <w:rsid w:val="00F72EFC"/>
    <w:rsid w:val="00F768AB"/>
    <w:rsid w:val="00F76A08"/>
    <w:rsid w:val="00F81578"/>
    <w:rsid w:val="00F81D9A"/>
    <w:rsid w:val="00F82D9A"/>
    <w:rsid w:val="00F83A0A"/>
    <w:rsid w:val="00F83B9E"/>
    <w:rsid w:val="00F85DCD"/>
    <w:rsid w:val="00F875D2"/>
    <w:rsid w:val="00F90490"/>
    <w:rsid w:val="00F9269E"/>
    <w:rsid w:val="00F93391"/>
    <w:rsid w:val="00F93577"/>
    <w:rsid w:val="00F94AE4"/>
    <w:rsid w:val="00F97389"/>
    <w:rsid w:val="00F976AC"/>
    <w:rsid w:val="00F97B09"/>
    <w:rsid w:val="00FA12AD"/>
    <w:rsid w:val="00FA1C85"/>
    <w:rsid w:val="00FA3864"/>
    <w:rsid w:val="00FA43C3"/>
    <w:rsid w:val="00FA48E5"/>
    <w:rsid w:val="00FA6280"/>
    <w:rsid w:val="00FA6964"/>
    <w:rsid w:val="00FA6D1C"/>
    <w:rsid w:val="00FB19A9"/>
    <w:rsid w:val="00FC097D"/>
    <w:rsid w:val="00FC0A54"/>
    <w:rsid w:val="00FC1088"/>
    <w:rsid w:val="00FC2F2E"/>
    <w:rsid w:val="00FC3A41"/>
    <w:rsid w:val="00FC6B1D"/>
    <w:rsid w:val="00FD314F"/>
    <w:rsid w:val="00FD3F68"/>
    <w:rsid w:val="00FD6099"/>
    <w:rsid w:val="00FD668C"/>
    <w:rsid w:val="00FD6BBF"/>
    <w:rsid w:val="00FD707C"/>
    <w:rsid w:val="00FE51BD"/>
    <w:rsid w:val="00FE5DC3"/>
    <w:rsid w:val="00FF095F"/>
    <w:rsid w:val="00FF1779"/>
    <w:rsid w:val="00FF1981"/>
    <w:rsid w:val="00FF2340"/>
    <w:rsid w:val="00FF60C7"/>
    <w:rsid w:val="00FF7392"/>
    <w:rsid w:val="011B684E"/>
    <w:rsid w:val="023B43DC"/>
    <w:rsid w:val="05462E4F"/>
    <w:rsid w:val="074D26E8"/>
    <w:rsid w:val="08A2142E"/>
    <w:rsid w:val="0AC15E5A"/>
    <w:rsid w:val="0B3E5AE8"/>
    <w:rsid w:val="110F26B1"/>
    <w:rsid w:val="117F71CE"/>
    <w:rsid w:val="11A1EA6F"/>
    <w:rsid w:val="12C51C3A"/>
    <w:rsid w:val="13404ED0"/>
    <w:rsid w:val="15A05A60"/>
    <w:rsid w:val="1A7D41CF"/>
    <w:rsid w:val="1FD3237E"/>
    <w:rsid w:val="21CE0EBF"/>
    <w:rsid w:val="2347777B"/>
    <w:rsid w:val="24485B15"/>
    <w:rsid w:val="299374C6"/>
    <w:rsid w:val="2BBF909A"/>
    <w:rsid w:val="2F461D69"/>
    <w:rsid w:val="2F5D96B3"/>
    <w:rsid w:val="30680F5D"/>
    <w:rsid w:val="322D6746"/>
    <w:rsid w:val="331E7ADE"/>
    <w:rsid w:val="33B6364B"/>
    <w:rsid w:val="36DA1891"/>
    <w:rsid w:val="37FF2BC7"/>
    <w:rsid w:val="38EF309E"/>
    <w:rsid w:val="3A851764"/>
    <w:rsid w:val="3B3B3CF3"/>
    <w:rsid w:val="3D7F44D7"/>
    <w:rsid w:val="3EA97209"/>
    <w:rsid w:val="40D83322"/>
    <w:rsid w:val="422D435D"/>
    <w:rsid w:val="43AC696A"/>
    <w:rsid w:val="43B61CB1"/>
    <w:rsid w:val="456E4695"/>
    <w:rsid w:val="47903C8B"/>
    <w:rsid w:val="495878D9"/>
    <w:rsid w:val="4BB12688"/>
    <w:rsid w:val="4C423BCA"/>
    <w:rsid w:val="4CB840CB"/>
    <w:rsid w:val="4DAFC68A"/>
    <w:rsid w:val="4E424DDD"/>
    <w:rsid w:val="4FCF490E"/>
    <w:rsid w:val="50022206"/>
    <w:rsid w:val="50B3A50A"/>
    <w:rsid w:val="51650C56"/>
    <w:rsid w:val="51762C52"/>
    <w:rsid w:val="5425443B"/>
    <w:rsid w:val="54AF63B2"/>
    <w:rsid w:val="552D759B"/>
    <w:rsid w:val="55DA73B9"/>
    <w:rsid w:val="55DF02DE"/>
    <w:rsid w:val="5645625D"/>
    <w:rsid w:val="57778BC6"/>
    <w:rsid w:val="59CC1628"/>
    <w:rsid w:val="5BAE3879"/>
    <w:rsid w:val="5BB11256"/>
    <w:rsid w:val="5CF20C87"/>
    <w:rsid w:val="5E9105BA"/>
    <w:rsid w:val="61DFB85B"/>
    <w:rsid w:val="621530C6"/>
    <w:rsid w:val="64B86B45"/>
    <w:rsid w:val="64D7270A"/>
    <w:rsid w:val="659E879D"/>
    <w:rsid w:val="65B57A7D"/>
    <w:rsid w:val="65FE00D9"/>
    <w:rsid w:val="66744D2F"/>
    <w:rsid w:val="66FEE301"/>
    <w:rsid w:val="696F67D7"/>
    <w:rsid w:val="6BDF421D"/>
    <w:rsid w:val="6D3F99D0"/>
    <w:rsid w:val="6D46D593"/>
    <w:rsid w:val="6EF87939"/>
    <w:rsid w:val="6F2C465B"/>
    <w:rsid w:val="6F7FED32"/>
    <w:rsid w:val="710522F9"/>
    <w:rsid w:val="72DB93C0"/>
    <w:rsid w:val="73FB252F"/>
    <w:rsid w:val="75D701B9"/>
    <w:rsid w:val="76D430F7"/>
    <w:rsid w:val="77DF5C0E"/>
    <w:rsid w:val="77F65759"/>
    <w:rsid w:val="78123092"/>
    <w:rsid w:val="7937CBE0"/>
    <w:rsid w:val="79FD4C65"/>
    <w:rsid w:val="7B7F293F"/>
    <w:rsid w:val="7BDE1DEC"/>
    <w:rsid w:val="7BEF4491"/>
    <w:rsid w:val="7D164783"/>
    <w:rsid w:val="7D7D81D8"/>
    <w:rsid w:val="7DD5BB1C"/>
    <w:rsid w:val="7DFD1BE7"/>
    <w:rsid w:val="7E960D71"/>
    <w:rsid w:val="7F776F63"/>
    <w:rsid w:val="7F77CEFC"/>
    <w:rsid w:val="7F93C31B"/>
    <w:rsid w:val="7FEB2E47"/>
    <w:rsid w:val="923752F3"/>
    <w:rsid w:val="99353E70"/>
    <w:rsid w:val="9D3F3214"/>
    <w:rsid w:val="9D922F37"/>
    <w:rsid w:val="9DDCFB81"/>
    <w:rsid w:val="9EBC9B7B"/>
    <w:rsid w:val="9F0F91C2"/>
    <w:rsid w:val="9F5F830B"/>
    <w:rsid w:val="A9F163B2"/>
    <w:rsid w:val="B3BEF373"/>
    <w:rsid w:val="BE2F136E"/>
    <w:rsid w:val="BEFF65D4"/>
    <w:rsid w:val="BF57A480"/>
    <w:rsid w:val="BFBF937A"/>
    <w:rsid w:val="CEDF1721"/>
    <w:rsid w:val="CEEDFCBC"/>
    <w:rsid w:val="CF0A38AD"/>
    <w:rsid w:val="CFFD6C86"/>
    <w:rsid w:val="DB7B7304"/>
    <w:rsid w:val="DBBFEACF"/>
    <w:rsid w:val="DFCFF02E"/>
    <w:rsid w:val="E3B3ADCD"/>
    <w:rsid w:val="E47FA08D"/>
    <w:rsid w:val="E6A5D112"/>
    <w:rsid w:val="EBF74CAA"/>
    <w:rsid w:val="EFB30E2D"/>
    <w:rsid w:val="EFFBC116"/>
    <w:rsid w:val="EFFFE847"/>
    <w:rsid w:val="F53F3E80"/>
    <w:rsid w:val="F7D925CB"/>
    <w:rsid w:val="F7FD0545"/>
    <w:rsid w:val="F853A29D"/>
    <w:rsid w:val="FA56202B"/>
    <w:rsid w:val="FA6F5633"/>
    <w:rsid w:val="FBDFEB0A"/>
    <w:rsid w:val="FD7F8EB5"/>
    <w:rsid w:val="FDFDDFAB"/>
    <w:rsid w:val="FDFE20FC"/>
    <w:rsid w:val="FEB783C2"/>
    <w:rsid w:val="FF3E7C58"/>
    <w:rsid w:val="FF5DCA3A"/>
    <w:rsid w:val="FFC6F811"/>
    <w:rsid w:val="FFE7204E"/>
    <w:rsid w:val="FFEF471E"/>
    <w:rsid w:val="FFFD8DF0"/>
    <w:rsid w:val="FFFE2C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Cs w:val="24"/>
      <w:lang w:bidi="ar-SA"/>
    </w:rPr>
  </w:style>
  <w:style w:type="paragraph" w:styleId="3">
    <w:name w:val="Normal Indent"/>
    <w:basedOn w:val="1"/>
    <w:unhideWhenUsed/>
    <w:qFormat/>
    <w:uiPriority w:val="99"/>
    <w:pPr>
      <w:ind w:firstLine="420"/>
    </w:pPr>
    <w:rPr>
      <w:rFonts w:ascii="Calibri" w:hAnsi="Calibri" w:eastAsia="宋体" w:cs="Times New Roman"/>
      <w:szCs w:val="24"/>
      <w:lang w:bidi="ar-SA"/>
    </w:rPr>
  </w:style>
  <w:style w:type="paragraph" w:styleId="4">
    <w:name w:val="Document Map"/>
    <w:basedOn w:val="1"/>
    <w:semiHidden/>
    <w:uiPriority w:val="0"/>
    <w:pPr>
      <w:shd w:val="clear" w:color="auto" w:fill="000080"/>
    </w:pPr>
  </w:style>
  <w:style w:type="paragraph" w:styleId="5">
    <w:name w:val="Body Text Indent"/>
    <w:basedOn w:val="1"/>
    <w:next w:val="3"/>
    <w:unhideWhenUsed/>
    <w:qFormat/>
    <w:uiPriority w:val="99"/>
    <w:pPr>
      <w:adjustRightInd w:val="0"/>
      <w:spacing w:after="120"/>
      <w:ind w:left="420" w:leftChars="200"/>
    </w:pPr>
    <w:rPr>
      <w:rFonts w:ascii="Calibri" w:hAnsi="Calibri" w:eastAsia="宋体" w:cs="Times New Roman"/>
      <w:szCs w:val="24"/>
      <w:lang w:bidi="ar-SA"/>
    </w:rPr>
  </w:style>
  <w:style w:type="paragraph" w:styleId="6">
    <w:name w:val="Date"/>
    <w:basedOn w:val="1"/>
    <w:next w:val="1"/>
    <w:link w:val="19"/>
    <w:uiPriority w:val="0"/>
    <w:pPr>
      <w:ind w:left="100" w:leftChars="2500"/>
    </w:pPr>
    <w:rPr>
      <w:rFonts w:ascii="仿宋_GB2312" w:eastAsia="仿宋_GB2312"/>
      <w:sz w:val="32"/>
    </w:rPr>
  </w:style>
  <w:style w:type="paragraph" w:styleId="7">
    <w:name w:val="Balloon Text"/>
    <w:basedOn w:val="1"/>
    <w:semiHidden/>
    <w:uiPriority w:val="0"/>
    <w:rPr>
      <w:sz w:val="18"/>
      <w:szCs w:val="18"/>
    </w:rPr>
  </w:style>
  <w:style w:type="paragraph" w:styleId="8">
    <w:name w:val="footer"/>
    <w:basedOn w:val="1"/>
    <w:link w:val="20"/>
    <w:uiPriority w:val="0"/>
    <w:pPr>
      <w:tabs>
        <w:tab w:val="center" w:pos="4153"/>
        <w:tab w:val="right" w:pos="8306"/>
      </w:tabs>
      <w:snapToGrid w:val="0"/>
      <w:jc w:val="left"/>
    </w:pPr>
    <w:rPr>
      <w:sz w:val="18"/>
      <w:szCs w:val="18"/>
    </w:rPr>
  </w:style>
  <w:style w:type="paragraph" w:styleId="9">
    <w:name w:val="header"/>
    <w:basedOn w:val="1"/>
    <w:link w:val="21"/>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uiPriority w:val="0"/>
  </w:style>
  <w:style w:type="paragraph" w:customStyle="1" w:styleId="14">
    <w:name w:val="标准正文"/>
    <w:basedOn w:val="1"/>
    <w:link w:val="22"/>
    <w:qFormat/>
    <w:uiPriority w:val="0"/>
    <w:pPr>
      <w:adjustRightInd w:val="0"/>
      <w:snapToGrid w:val="0"/>
      <w:ind w:firstLine="600" w:firstLineChars="200"/>
    </w:pPr>
    <w:rPr>
      <w:rFonts w:ascii="Times New Roman" w:hAnsi="Times New Roman" w:eastAsia="仿宋_GB2312" w:cs="Times New Roman"/>
      <w:kern w:val="2"/>
      <w:sz w:val="32"/>
      <w:szCs w:val="30"/>
      <w:lang w:bidi="ar-SA"/>
    </w:rPr>
  </w:style>
  <w:style w:type="paragraph" w:customStyle="1" w:styleId="15">
    <w:name w:val="标准正文格式"/>
    <w:basedOn w:val="1"/>
    <w:link w:val="25"/>
    <w:qFormat/>
    <w:uiPriority w:val="0"/>
    <w:pPr>
      <w:adjustRightInd w:val="0"/>
      <w:snapToGrid w:val="0"/>
      <w:ind w:firstLine="600" w:firstLineChars="200"/>
    </w:pPr>
    <w:rPr>
      <w:rFonts w:ascii="Times New Roman" w:hAnsi="Times New Roman" w:eastAsia="仿宋_GB2312" w:cs="Times New Roman"/>
      <w:kern w:val="2"/>
      <w:sz w:val="32"/>
      <w:szCs w:val="30"/>
      <w:lang w:bidi="ar-SA"/>
    </w:rPr>
  </w:style>
  <w:style w:type="paragraph" w:customStyle="1" w:styleId="16">
    <w:name w:val="此文正文"/>
    <w:basedOn w:val="1"/>
    <w:qFormat/>
    <w:uiPriority w:val="0"/>
    <w:pPr>
      <w:adjustRightInd w:val="0"/>
      <w:spacing w:line="460" w:lineRule="exact"/>
    </w:pPr>
    <w:rPr>
      <w:rFonts w:ascii="Calibri" w:hAnsi="Calibri" w:eastAsia="宋体" w:cs="宋体"/>
      <w:color w:val="000000"/>
      <w:sz w:val="24"/>
      <w:szCs w:val="24"/>
      <w:lang w:bidi="ar-SA"/>
    </w:rPr>
  </w:style>
  <w:style w:type="paragraph" w:customStyle="1" w:styleId="17">
    <w:name w:val="一级标题"/>
    <w:basedOn w:val="1"/>
    <w:qFormat/>
    <w:uiPriority w:val="0"/>
    <w:pPr>
      <w:autoSpaceDE w:val="0"/>
      <w:autoSpaceDN w:val="0"/>
      <w:adjustRightInd w:val="0"/>
      <w:snapToGrid w:val="0"/>
      <w:spacing w:line="580" w:lineRule="exact"/>
      <w:outlineLvl w:val="0"/>
    </w:pPr>
    <w:rPr>
      <w:rFonts w:ascii="黑体" w:hAnsi="黑体" w:eastAsia="黑体" w:cs="宋体"/>
      <w:sz w:val="32"/>
      <w:szCs w:val="32"/>
      <w:lang w:bidi="ar-SA"/>
    </w:rPr>
  </w:style>
  <w:style w:type="paragraph" w:customStyle="1" w:styleId="18">
    <w:name w:val="二级标题"/>
    <w:basedOn w:val="15"/>
    <w:qFormat/>
    <w:uiPriority w:val="0"/>
    <w:pPr>
      <w:ind w:firstLine="643"/>
      <w:outlineLvl w:val="1"/>
    </w:pPr>
    <w:rPr>
      <w:rFonts w:ascii="楷体_GB2312" w:hAnsi="楷体" w:eastAsia="楷体_GB2312"/>
      <w:b/>
      <w:bCs/>
    </w:rPr>
  </w:style>
  <w:style w:type="character" w:customStyle="1" w:styleId="19">
    <w:name w:val=" Char Char2"/>
    <w:basedOn w:val="12"/>
    <w:link w:val="6"/>
    <w:uiPriority w:val="0"/>
    <w:rPr>
      <w:rFonts w:ascii="仿宋_GB2312" w:hAnsi="Times New Roman" w:eastAsia="仿宋_GB2312" w:cs="Times New Roman"/>
      <w:kern w:val="2"/>
      <w:sz w:val="32"/>
      <w:szCs w:val="24"/>
      <w:lang w:bidi="ar-SA"/>
    </w:rPr>
  </w:style>
  <w:style w:type="character" w:customStyle="1" w:styleId="20">
    <w:name w:val="页脚 字符"/>
    <w:link w:val="8"/>
    <w:uiPriority w:val="0"/>
    <w:rPr>
      <w:rFonts w:ascii="Times New Roman" w:hAnsi="Times New Roman" w:eastAsia="宋体" w:cs="Times New Roman"/>
      <w:sz w:val="18"/>
      <w:szCs w:val="18"/>
    </w:rPr>
  </w:style>
  <w:style w:type="character" w:customStyle="1" w:styleId="21">
    <w:name w:val="页眉 字符"/>
    <w:link w:val="9"/>
    <w:uiPriority w:val="0"/>
    <w:rPr>
      <w:rFonts w:ascii="Times New Roman" w:hAnsi="Times New Roman" w:eastAsia="宋体" w:cs="Times New Roman"/>
      <w:sz w:val="18"/>
      <w:szCs w:val="18"/>
    </w:rPr>
  </w:style>
  <w:style w:type="character" w:customStyle="1" w:styleId="22">
    <w:name w:val="标准正文 字符"/>
    <w:link w:val="14"/>
    <w:qFormat/>
    <w:uiPriority w:val="0"/>
    <w:rPr>
      <w:rFonts w:ascii="Times New Roman" w:hAnsi="Times New Roman" w:eastAsia="仿宋_GB2312" w:cs="Times New Roman"/>
      <w:kern w:val="2"/>
      <w:sz w:val="32"/>
      <w:szCs w:val="30"/>
    </w:rPr>
  </w:style>
  <w:style w:type="character" w:customStyle="1" w:styleId="23">
    <w:name w:val=" Char Char"/>
    <w:basedOn w:val="12"/>
    <w:semiHidden/>
    <w:uiPriority w:val="99"/>
    <w:rPr>
      <w:rFonts w:ascii="Calibri" w:hAnsi="Calibri" w:eastAsia="宋体" w:cs="Mongolian Baiti"/>
      <w:kern w:val="2"/>
      <w:sz w:val="18"/>
      <w:szCs w:val="22"/>
    </w:rPr>
  </w:style>
  <w:style w:type="character" w:customStyle="1" w:styleId="24">
    <w:name w:val=" Char Char1"/>
    <w:basedOn w:val="12"/>
    <w:semiHidden/>
    <w:uiPriority w:val="99"/>
    <w:rPr>
      <w:rFonts w:ascii="Calibri" w:hAnsi="Calibri" w:eastAsia="宋体" w:cs="Mongolian Baiti"/>
      <w:kern w:val="2"/>
      <w:sz w:val="18"/>
      <w:szCs w:val="22"/>
    </w:rPr>
  </w:style>
  <w:style w:type="character" w:customStyle="1" w:styleId="25">
    <w:name w:val="标准正文格式 字符"/>
    <w:link w:val="15"/>
    <w:qFormat/>
    <w:uiPriority w:val="0"/>
    <w:rPr>
      <w:rFonts w:ascii="Times New Roman" w:hAnsi="Times New Roman" w:eastAsia="仿宋_GB2312" w:cs="Times New Roman"/>
      <w:kern w:val="2"/>
      <w:sz w:val="32"/>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16</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2023-11-07T03:18:16Z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