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rPr>
          <w:rFonts w:hint="eastAsia"/>
          <w:sz w:val="44"/>
        </w:rPr>
      </w:pPr>
    </w:p>
    <w:p>
      <w:pPr>
        <w:adjustRightInd w:val="0"/>
        <w:snapToGrid w:val="0"/>
        <w:spacing w:line="520" w:lineRule="exact"/>
        <w:rPr>
          <w:rFonts w:hint="eastAsia"/>
          <w:sz w:val="44"/>
        </w:rPr>
      </w:pPr>
      <w:bookmarkStart w:id="4" w:name="_GoBack"/>
      <w:bookmarkEnd w:id="4"/>
    </w:p>
    <w:p>
      <w:pPr>
        <w:adjustRightInd w:val="0"/>
        <w:snapToGrid w:val="0"/>
        <w:spacing w:line="520" w:lineRule="exact"/>
        <w:rPr>
          <w:rFonts w:hint="eastAsia"/>
          <w:sz w:val="44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color w:val="FF0000"/>
          <w:spacing w:val="-20"/>
          <w:w w:val="50"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color w:val="FF0000"/>
          <w:spacing w:val="-20"/>
          <w:w w:val="50"/>
          <w:szCs w:val="21"/>
        </w:rPr>
      </w:pPr>
    </w:p>
    <w:p>
      <w:pPr>
        <w:adjustRightInd w:val="0"/>
        <w:snapToGrid w:val="0"/>
        <w:spacing w:line="480" w:lineRule="exact"/>
        <w:ind w:firstLine="160" w:firstLineChars="50"/>
        <w:rPr>
          <w:rFonts w:hint="eastAsia" w:ascii="仿宋_GB2312" w:hAnsi="华文仿宋" w:eastAsia="仿宋_GB2312"/>
          <w:sz w:val="32"/>
        </w:rPr>
      </w:pPr>
      <w:bookmarkStart w:id="0" w:name="标题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420" w:lineRule="exact"/>
        <w:jc w:val="left"/>
        <w:textAlignment w:val="auto"/>
        <w:rPr>
          <w:rFonts w:hint="eastAsia" w:ascii="仿宋_GB2312" w:hAnsi="华文仿宋" w:eastAsia="仿宋_GB2312"/>
          <w:sz w:val="32"/>
          <w:szCs w:val="32"/>
        </w:rPr>
      </w:pPr>
      <w:bookmarkStart w:id="1" w:name="文号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2" w:name="正文文件"/>
      <w:bookmarkEnd w:id="2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内蒙古自治区人民政府办公厅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关于印发《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内蒙古自治区重大行政决策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目录管理办法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仿宋_GB2312" w:hAnsi="华文仿宋" w:eastAsia="仿宋_GB2312"/>
          <w:sz w:val="32"/>
          <w:lang w:eastAsia="zh-CN"/>
        </w:rPr>
        <w:t>内政办发〔2024〕</w:t>
      </w:r>
      <w:r>
        <w:rPr>
          <w:rFonts w:hint="eastAsia" w:ascii="仿宋_GB2312" w:hAnsi="华文仿宋" w:eastAsia="仿宋_GB2312"/>
          <w:sz w:val="32"/>
          <w:lang w:val="en-US" w:eastAsia="zh-CN"/>
        </w:rPr>
        <w:t>14</w:t>
      </w:r>
      <w:r>
        <w:rPr>
          <w:rFonts w:hint="eastAsia" w:ascii="仿宋_GB2312" w:hAnsi="华文仿宋" w:eastAsia="仿宋_GB2312"/>
          <w:sz w:val="32"/>
          <w:lang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60" w:lineRule="exact"/>
        <w:ind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各盟行政公署、市人民政府，自治区各有关委、办、厅、局，各有关事业单位：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经自治区人民政府同意，现将《内蒙古自治区重大行政决策目录管理办法》印发给你们，请结合实际，认真遵照执行。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770"/>
        </w:tabs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right="1237" w:rightChars="589" w:firstLine="5280" w:firstLineChars="165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2024年4月10日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内蒙古自治区重大行政决策目录管理办法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720" w:firstLineChars="200"/>
        <w:jc w:val="both"/>
        <w:textAlignment w:val="auto"/>
        <w:rPr>
          <w:rFonts w:ascii="方正小标宋简体" w:eastAsia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第一条</w:t>
      </w:r>
      <w:r>
        <w:rPr>
          <w:rFonts w:hint="eastAsia" w:ascii="仿宋" w:hAnsi="仿宋" w:eastAsia="仿宋" w:cs="仿宋"/>
          <w:sz w:val="32"/>
          <w:szCs w:val="32"/>
        </w:rPr>
        <w:t xml:space="preserve">  为规范重大行政决策行为，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加强重大行政决策事项目录管理</w:t>
      </w:r>
      <w:r>
        <w:rPr>
          <w:rFonts w:hint="eastAsia" w:ascii="仿宋" w:hAnsi="仿宋" w:eastAsia="仿宋" w:cs="仿宋"/>
          <w:sz w:val="32"/>
          <w:szCs w:val="32"/>
        </w:rPr>
        <w:t>，根据《重大行政决策程序暂行条例》和《内蒙古自治区重大行政决策程序规定》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自治区人民政府令第248号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），</w:t>
      </w:r>
      <w:r>
        <w:rPr>
          <w:rFonts w:hint="eastAsia" w:ascii="仿宋" w:hAnsi="仿宋" w:eastAsia="仿宋" w:cs="仿宋"/>
          <w:sz w:val="32"/>
          <w:szCs w:val="32"/>
        </w:rPr>
        <w:t>结合自治区实际，制定本办法。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旗县级以上人民政府及其工作部门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编制、调整重大行政决策事项目录，适用本办法。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第三条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重大行政决策目录管理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必须坚持和加强党的全面领导，坚持以铸牢中华民族共同体意识为工作主线，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遵循依法、科学、民主、公开、高效的原则。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第四条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《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内蒙古自治区重大行政决策程序规定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》第三条第</w:t>
      </w:r>
      <w:r>
        <w:rPr>
          <w:rFonts w:hint="eastAsia" w:ascii="仿宋" w:hAnsi="仿宋" w:eastAsia="仿宋" w:cs="仿宋"/>
          <w:color w:val="000000"/>
          <w:spacing w:val="-6"/>
          <w:kern w:val="0"/>
          <w:sz w:val="32"/>
          <w:szCs w:val="32"/>
        </w:rPr>
        <w:t>一款规定的重大行政决策事项，应</w:t>
      </w:r>
      <w:r>
        <w:rPr>
          <w:rFonts w:hint="eastAsia" w:ascii="仿宋" w:hAnsi="仿宋" w:eastAsia="仿宋" w:cs="仿宋"/>
          <w:color w:val="000000"/>
          <w:spacing w:val="-6"/>
          <w:kern w:val="0"/>
          <w:sz w:val="32"/>
          <w:szCs w:val="32"/>
          <w:lang w:eastAsia="zh-CN"/>
        </w:rPr>
        <w:t>当</w:t>
      </w:r>
      <w:r>
        <w:rPr>
          <w:rFonts w:hint="eastAsia" w:ascii="仿宋" w:hAnsi="仿宋" w:eastAsia="仿宋" w:cs="仿宋"/>
          <w:color w:val="000000"/>
          <w:spacing w:val="-6"/>
          <w:kern w:val="0"/>
          <w:sz w:val="32"/>
          <w:szCs w:val="32"/>
        </w:rPr>
        <w:t>纳入重大行政决策目录范围。</w:t>
      </w:r>
    </w:p>
    <w:p>
      <w:pPr>
        <w:pStyle w:val="11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第五条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自治区人民政府统一领导全区重大行政决策目录管理工作。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旗县级以上人民政府办公部门负责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本级政府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重大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行政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决策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相关工作的组织、协调和指导等工作。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旗县级以上司法行政部门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负责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本级人民政府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重大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行政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决策目录的编制、调整等工作。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旗县级以上人民政府工作部门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负责本部门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提请本级政府决策的重大行政决策事项目录的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申报和配合做好决策目录的编制、调整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等工作。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第六条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旗县级以上人民政府相关工作部门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应当于每年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底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前将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下一年度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本部门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制定执行拟以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本级人民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政府名义作出的重大行政决策事项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建议报送司法行政部门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决策事项建议包括决策事项名称、依据、主要内容、拟解决的主要问题、决策程序、完成时限等。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第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七条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司法行政部门对收到有关部门单位报送的决策建议事项，会同相关部门单位进行审核，必要时，可以组织专家进行咨询论证，统筹拟定年度重大行政决策事项目录草案。形成年度决策目录草案后，按程序提请本级人民政府常务会议审议。</w:t>
      </w:r>
    </w:p>
    <w:p>
      <w:pPr>
        <w:pStyle w:val="11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第八条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旗县级以上人民政府相关工作部门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单位报送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重大行政决策事项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建议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前，应当根据需要向下级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人民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政府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及部门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、其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他国家机关、社会团体、企事业单位和社会公众征集决策事项建议。</w:t>
      </w:r>
    </w:p>
    <w:p>
      <w:pPr>
        <w:pStyle w:val="11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 xml:space="preserve">第九条 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人大代表和政协委员通过建议和提案等方式，向旗县级以上人民政府提出重大行政决策事项建议的，政府相关部门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单位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应当及时研究。经研究，认为需要列入重大行政决策事项目录的，按照规定程序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办理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第十条</w:t>
      </w:r>
      <w:r>
        <w:rPr>
          <w:rFonts w:hint="eastAsia" w:ascii="仿宋" w:hAnsi="仿宋" w:eastAsia="仿宋" w:cs="仿宋"/>
          <w:b/>
          <w:bCs/>
          <w:color w:val="303030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" w:hAnsi="仿宋" w:eastAsia="仿宋" w:cs="仿宋"/>
          <w:color w:val="303030"/>
          <w:kern w:val="0"/>
          <w:sz w:val="32"/>
          <w:szCs w:val="32"/>
          <w:shd w:val="clear" w:color="auto" w:fill="FFFFFF"/>
        </w:rPr>
        <w:t>旗县级以上人民政府工作部门</w:t>
      </w:r>
      <w:r>
        <w:rPr>
          <w:rFonts w:hint="eastAsia" w:ascii="仿宋" w:hAnsi="仿宋" w:eastAsia="仿宋" w:cs="仿宋"/>
          <w:color w:val="303030"/>
          <w:kern w:val="0"/>
          <w:sz w:val="32"/>
          <w:szCs w:val="32"/>
          <w:shd w:val="clear" w:color="auto" w:fill="FFFFFF"/>
          <w:lang w:eastAsia="zh-CN"/>
        </w:rPr>
        <w:t>单位</w:t>
      </w:r>
      <w:r>
        <w:rPr>
          <w:rFonts w:hint="eastAsia" w:ascii="仿宋" w:hAnsi="仿宋" w:eastAsia="仿宋" w:cs="仿宋"/>
          <w:color w:val="303030"/>
          <w:kern w:val="0"/>
          <w:sz w:val="32"/>
          <w:szCs w:val="32"/>
          <w:shd w:val="clear" w:color="auto" w:fill="FFFFFF"/>
        </w:rPr>
        <w:t>应当结合部门</w:t>
      </w:r>
      <w:r>
        <w:rPr>
          <w:rFonts w:hint="eastAsia" w:ascii="仿宋" w:hAnsi="仿宋" w:eastAsia="仿宋" w:cs="仿宋"/>
          <w:color w:val="303030"/>
          <w:kern w:val="0"/>
          <w:sz w:val="32"/>
          <w:szCs w:val="32"/>
          <w:shd w:val="clear" w:color="auto" w:fill="FFFFFF"/>
          <w:lang w:eastAsia="zh-CN"/>
        </w:rPr>
        <w:t>单位</w:t>
      </w:r>
      <w:r>
        <w:rPr>
          <w:rFonts w:hint="eastAsia" w:ascii="仿宋" w:hAnsi="仿宋" w:eastAsia="仿宋" w:cs="仿宋"/>
          <w:color w:val="303030"/>
          <w:kern w:val="0"/>
          <w:sz w:val="32"/>
          <w:szCs w:val="32"/>
          <w:shd w:val="clear" w:color="auto" w:fill="FFFFFF"/>
        </w:rPr>
        <w:t>职责和年度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重点工作，制定实施本部门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  <w:t>单位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重大行政决策目录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并向社会公布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。</w:t>
      </w:r>
    </w:p>
    <w:p>
      <w:pPr>
        <w:pStyle w:val="11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 xml:space="preserve">第十一条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重大行政决策事项目录应当包括决策事项名称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决策承办单位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计划完成时间等。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除依法不得公开的决策事项外，决策目录原则上应当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经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本级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人民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政府常务会议审议通过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并经党委同意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后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，由本级人民政府办公部门在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20个工作日内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印发实施并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向社会公布。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第十二条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重大行政决策目录实行动态管理，根据各级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人民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政府年度工作任务的增加、变更等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工作实际，及时履行相关调整程序。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重大行政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决策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目录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备案按照相关规定执行。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第十三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凡是纳入重大行政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决策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目录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管理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的决策事项，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承办部门单位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应当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严格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按照重大行政决策程序实施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，确保程序正当、过程公开、责任明确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第十四条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本办法执行情况纳入旗县级以上人民政府及其工作部门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  <w:t>单位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法治政府建设工作考核内容。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第十五条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 xml:space="preserve">  苏木乡镇人民政府、街道办事处的重大行政决策事项目录管理，参照本办法执行。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黑体" w:eastAsia="黑体"/>
          <w:sz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第十六条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303030"/>
          <w:kern w:val="0"/>
          <w:sz w:val="32"/>
          <w:szCs w:val="32"/>
          <w:shd w:val="clear" w:color="auto" w:fill="FFFFFF"/>
        </w:rPr>
        <w:t>本办法自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公布之日起施行。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黑体" w:eastAsia="黑体"/>
          <w:sz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黑体" w:eastAsia="黑体"/>
          <w:sz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黑体" w:eastAsia="黑体"/>
          <w:sz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黑体" w:eastAsia="黑体"/>
          <w:sz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黑体" w:eastAsia="黑体"/>
          <w:sz w:val="32"/>
        </w:rPr>
      </w:pPr>
    </w:p>
    <w:p>
      <w:pPr>
        <w:adjustRightInd w:val="0"/>
        <w:snapToGrid w:val="0"/>
        <w:spacing w:line="580" w:lineRule="exact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3654425</wp:posOffset>
                </wp:positionH>
                <wp:positionV relativeFrom="margin">
                  <wp:posOffset>8227060</wp:posOffset>
                </wp:positionV>
                <wp:extent cx="1943100" cy="891540"/>
                <wp:effectExtent l="0" t="0" r="0" b="3810"/>
                <wp:wrapNone/>
                <wp:docPr id="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52"/>
                                <w:szCs w:val="52"/>
                                <w:lang w:eastAsia="zh-CN"/>
                              </w:rPr>
                            </w:pPr>
                            <w:bookmarkStart w:id="3" w:name="二维条码"/>
                            <w:bookmarkEnd w:id="3"/>
                            <w:r>
                              <w:rPr>
                                <w:rFonts w:hint="eastAsia" w:eastAsia="宋体"/>
                                <w:sz w:val="52"/>
                                <w:szCs w:val="52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1758315" cy="430530"/>
                                  <wp:effectExtent l="0" t="0" r="13335" b="7620"/>
                                  <wp:docPr id="2" name="图片 3" descr="20240416161516_70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3" descr="20240416161516_70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8315" cy="430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none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6" o:spt="202" type="#_x0000_t202" style="position:absolute;left:0pt;margin-left:287.75pt;margin-top:647.8pt;height:70.2pt;width:153pt;mso-position-horizontal-relative:margin;mso-position-vertical-relative:margin;mso-wrap-style:none;z-index:251659264;mso-width-relative:page;mso-height-relative:page;" fillcolor="#FFFFFF" filled="t" stroked="f" coordsize="21600,21600" o:gfxdata="UEsDBAoAAAAAAIdO4kAAAAAAAAAAAAAAAAAEAAAAZHJzL1BLAwQUAAAACACHTuJAZam8BdsAAAAN&#10;AQAADwAAAGRycy9kb3ducmV2LnhtbE2PwU7DMBBE70j8g7VI3KidlqRpiNMDCAmEVKmFD3DsbRIR&#10;28F2m/L3LCc47szT7Ey9vdiRnTHEwTsJ2UIAQ6e9GVwn4eP9+a4EFpNyRo3eoYRvjLBtrq9qVRk/&#10;uz2eD6ljFOJipST0KU0V51H3aFVc+AkdeUcfrEp0ho6boGYKtyNfClFwqwZHH3o14WOP+vNwshKe&#10;htB+ab96KdZvG73bx+P8uuNS3t5k4gFYwkv6g+G3PlWHhjq1/uRMZKOEfJ3nhJKx3OQFMELKMiOp&#10;Jel+VQjgTc3/r2h+AFBLAwQUAAAACACHTuJAAdiKINkBAADBAwAADgAAAGRycy9lMm9Eb2MueG1s&#10;rVNNb9wgEL1X6n9A3Lu20zRKrPVGbVbbS9VWSvoDWIxtJGDQwK69/fUdsLNJk0sO8QHDfLyZ9xjW&#10;t5M17KgwaHANr1YlZ8pJaLXrG/7nYffpmrMQhWuFAacaflKB324+fliPvlYXMIBpFTICcaEefcOH&#10;GH1dFEEOyoqwAq8cOTtAKyIdsS9aFCOhW1NclOVVMQK2HkGqEMi6nZ18QcS3AELXaam2IA9WuTij&#10;ojIiEqUwaB/4JnfbdUrGX10XVGSm4cQ05pWK0H6f1mKzFnWPwg9aLi2It7TwgpMV2lHRM9RWRMEO&#10;qF9BWS0RAnRxJcEWM5GsCLGoyhfa3A/Cq8yFpA7+LHp4P1j58/gbmW5pEjhzwtKFP6gpsm8wsauk&#10;zuhDTUH3nsLiROYUudgDGRPpqUOb/kSHkZ+0PZ21TWAyJd1cfq5KcknyXd9UXy6z+MVTtscQvyuw&#10;LG0ajnR3WVJx/BEiVaTQx5BULIDR7U4bkw/Y7+8MsqOge97lLzVJKf+FGZeCHaS02Z0sReI4c0m7&#10;OO2nheAe2hPxptdCDQ2AfzkbaVYa7uhpcCacJGPD4+P2Ls6jdfCo+4Fyqswg+K+HSEUzi1Rixl0q&#10;083mTpcpTKPz/Jyjnl7e5h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lqbwF2wAAAA0BAAAPAAAA&#10;AAAAAAEAIAAAACIAAABkcnMvZG93bnJldi54bWxQSwECFAAUAAAACACHTuJAAdiKINkBAADBAwAA&#10;DgAAAAAAAAABACAAAAAqAQAAZHJzL2Uyb0RvYy54bWxQSwUGAAAAAAYABgBZAQAAdQUAAAAA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 w:eastAsia="宋体"/>
                          <w:sz w:val="52"/>
                          <w:szCs w:val="52"/>
                          <w:lang w:eastAsia="zh-CN"/>
                        </w:rPr>
                      </w:pPr>
                      <w:bookmarkStart w:id="3" w:name="二维条码"/>
                      <w:bookmarkEnd w:id="3"/>
                      <w:r>
                        <w:rPr>
                          <w:rFonts w:hint="eastAsia" w:eastAsia="宋体"/>
                          <w:sz w:val="52"/>
                          <w:szCs w:val="52"/>
                          <w:lang w:eastAsia="zh-CN"/>
                        </w:rPr>
                        <w:drawing>
                          <wp:inline distT="0" distB="0" distL="114300" distR="114300">
                            <wp:extent cx="1758315" cy="430530"/>
                            <wp:effectExtent l="0" t="0" r="13335" b="7620"/>
                            <wp:docPr id="2" name="图片 3" descr="20240416161516_70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3" descr="20240416161516_705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8315" cy="430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7"/>
        <w:tblW w:w="0" w:type="auto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2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c>
          <w:tcPr>
            <w:tcW w:w="89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10" w:rightChars="100" w:firstLine="280" w:firstLineChars="100"/>
              <w:textAlignment w:val="auto"/>
              <w:rPr>
                <w:rFonts w:hint="eastAsia" w:ascii="仿宋_GB2312" w:eastAsia="仿宋_GB2312"/>
                <w:spacing w:val="0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pacing w:val="0"/>
                <w:sz w:val="28"/>
              </w:rPr>
              <w:t>抄送：自治区党委各</w:t>
            </w:r>
            <w:r>
              <w:rPr>
                <w:rFonts w:hint="eastAsia" w:ascii="仿宋_GB2312" w:eastAsia="仿宋_GB2312"/>
                <w:spacing w:val="0"/>
                <w:sz w:val="28"/>
                <w:lang w:eastAsia="zh-CN"/>
              </w:rPr>
              <w:t>有关</w:t>
            </w:r>
            <w:r>
              <w:rPr>
                <w:rFonts w:hint="eastAsia" w:ascii="仿宋_GB2312" w:eastAsia="仿宋_GB2312"/>
                <w:spacing w:val="0"/>
                <w:sz w:val="28"/>
              </w:rPr>
              <w:t>部门</w:t>
            </w:r>
            <w:r>
              <w:rPr>
                <w:rFonts w:hint="eastAsia" w:ascii="仿宋_GB2312" w:eastAsia="仿宋_GB2312"/>
                <w:spacing w:val="0"/>
                <w:sz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0" w:leftChars="100" w:right="210" w:rightChars="100"/>
              <w:textAlignment w:val="auto"/>
              <w:rPr>
                <w:rFonts w:ascii="仿宋_GB2312" w:eastAsia="仿宋_GB2312"/>
                <w:spacing w:val="0"/>
                <w:sz w:val="28"/>
              </w:rPr>
            </w:pPr>
            <w:r>
              <w:rPr>
                <w:rFonts w:hint="eastAsia" w:ascii="仿宋_GB2312" w:eastAsia="仿宋_GB2312"/>
                <w:spacing w:val="0"/>
                <w:sz w:val="28"/>
              </w:rPr>
              <w:t xml:space="preserve">内蒙古自治区人民政府办公厅文电处    </w:t>
            </w:r>
            <w:r>
              <w:rPr>
                <w:rFonts w:hint="eastAsia" w:ascii="仿宋_GB2312" w:eastAsia="仿宋_GB2312"/>
                <w:spacing w:val="0"/>
                <w:sz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pacing w:val="0"/>
                <w:sz w:val="28"/>
              </w:rPr>
              <w:t>2024年</w:t>
            </w:r>
            <w:r>
              <w:rPr>
                <w:rFonts w:hint="eastAsia" w:ascii="仿宋_GB2312" w:eastAsia="仿宋_GB2312"/>
                <w:spacing w:val="0"/>
                <w:sz w:val="28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pacing w:val="0"/>
                <w:sz w:val="28"/>
              </w:rPr>
              <w:t>月</w:t>
            </w:r>
            <w:r>
              <w:rPr>
                <w:rFonts w:hint="eastAsia" w:ascii="仿宋_GB2312" w:eastAsia="仿宋_GB2312"/>
                <w:spacing w:val="0"/>
                <w:sz w:val="28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spacing w:val="0"/>
                <w:sz w:val="28"/>
              </w:rPr>
              <w:t>日印发</w:t>
            </w:r>
          </w:p>
        </w:tc>
      </w:tr>
    </w:tbl>
    <w:p>
      <w:pPr>
        <w:spacing w:line="20" w:lineRule="exact"/>
        <w:rPr>
          <w:rFonts w:hint="eastAsia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701" w:left="1474" w:header="851" w:footer="1417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9452" w:y="-23"/>
      <w:rPr>
        <w:rStyle w:val="10"/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fldChar w:fldCharType="begin"/>
    </w:r>
    <w:r>
      <w:rPr>
        <w:rStyle w:val="10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  <w:lang/>
      </w:rPr>
      <w:t>- 1 -</w:t>
    </w:r>
    <w:r>
      <w:rPr>
        <w:rFonts w:hint="eastAsia" w:ascii="宋体" w:hAnsi="宋体"/>
        <w:sz w:val="28"/>
        <w:szCs w:val="28"/>
      </w:rPr>
      <w:fldChar w:fldCharType="end"/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1892" w:y="-23"/>
      <w:rPr>
        <w:rStyle w:val="10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  <w:lang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lZjk5NDFjN2E0NTZiZDgzNTc3NmI3N2IyMjUxOTYifQ=="/>
  </w:docVars>
  <w:rsids>
    <w:rsidRoot w:val="00E941F7"/>
    <w:rsid w:val="00122EA1"/>
    <w:rsid w:val="00132E64"/>
    <w:rsid w:val="00151C4B"/>
    <w:rsid w:val="001D2EC2"/>
    <w:rsid w:val="00243573"/>
    <w:rsid w:val="00294F4F"/>
    <w:rsid w:val="00302982"/>
    <w:rsid w:val="003F0B67"/>
    <w:rsid w:val="00456A72"/>
    <w:rsid w:val="005618EC"/>
    <w:rsid w:val="00582F58"/>
    <w:rsid w:val="005B2A9E"/>
    <w:rsid w:val="005C5E3B"/>
    <w:rsid w:val="005E0DCD"/>
    <w:rsid w:val="005F38E6"/>
    <w:rsid w:val="007B097B"/>
    <w:rsid w:val="008408A0"/>
    <w:rsid w:val="0086125A"/>
    <w:rsid w:val="008B066F"/>
    <w:rsid w:val="0093066E"/>
    <w:rsid w:val="00A54C2D"/>
    <w:rsid w:val="00AB301E"/>
    <w:rsid w:val="00B5388B"/>
    <w:rsid w:val="00B73533"/>
    <w:rsid w:val="00BE472B"/>
    <w:rsid w:val="00C67DA4"/>
    <w:rsid w:val="00D97AB1"/>
    <w:rsid w:val="00DB3818"/>
    <w:rsid w:val="00E62506"/>
    <w:rsid w:val="00E941F7"/>
    <w:rsid w:val="00F71128"/>
    <w:rsid w:val="00FF1981"/>
    <w:rsid w:val="023B43DC"/>
    <w:rsid w:val="05651BCD"/>
    <w:rsid w:val="10DE11D9"/>
    <w:rsid w:val="14556619"/>
    <w:rsid w:val="1A7D41CF"/>
    <w:rsid w:val="1D476C06"/>
    <w:rsid w:val="2082399D"/>
    <w:rsid w:val="20F74F8D"/>
    <w:rsid w:val="39C8691C"/>
    <w:rsid w:val="3DDF89FB"/>
    <w:rsid w:val="45024EE0"/>
    <w:rsid w:val="5113748C"/>
    <w:rsid w:val="53B0659A"/>
    <w:rsid w:val="59246455"/>
    <w:rsid w:val="5BAE3879"/>
    <w:rsid w:val="5EFB71D0"/>
    <w:rsid w:val="6148093F"/>
    <w:rsid w:val="619E1B9B"/>
    <w:rsid w:val="6C532057"/>
    <w:rsid w:val="6F2C465B"/>
    <w:rsid w:val="7D1647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uiPriority w:val="0"/>
    <w:pPr>
      <w:shd w:val="clear" w:color="auto" w:fill="000080"/>
    </w:pPr>
  </w:style>
  <w:style w:type="paragraph" w:styleId="3">
    <w:name w:val="Date"/>
    <w:basedOn w:val="1"/>
    <w:next w:val="1"/>
    <w:uiPriority w:val="0"/>
    <w:pPr>
      <w:ind w:left="100" w:leftChars="2500"/>
    </w:pPr>
    <w:rPr>
      <w:rFonts w:ascii="仿宋_GB2312" w:eastAsia="仿宋_GB2312"/>
      <w:sz w:val="32"/>
    </w:rPr>
  </w:style>
  <w:style w:type="paragraph" w:styleId="4">
    <w:name w:val="Balloon Text"/>
    <w:basedOn w:val="1"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uiPriority w:val="0"/>
  </w:style>
  <w:style w:type="paragraph" w:customStyle="1" w:styleId="11">
    <w:name w:val="普通(网站)1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Company>Lenovo (Beijing) Limited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2024-04-16T16:41:00Z</dcterms:created>
  <dc:creator>uos</dc:creator>
  <cp:lastModifiedBy>ZWGK</cp:lastModifiedBy>
  <dcterms:modified xsi:type="dcterms:W3CDTF">2024-04-25T14:51:42Z</dcterms:modified>
  <dc:title>_x0001_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22B1BECA8091428284C70A53292D1E47_13</vt:lpwstr>
  </property>
</Properties>
</file>